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ED" w:rsidRPr="009E126B" w:rsidRDefault="00B73BF4" w:rsidP="007779ED">
      <w:pPr>
        <w:pStyle w:val="Title"/>
        <w:rPr>
          <w:rFonts w:ascii="Cambria" w:hAnsi="Cambria"/>
          <w:color w:val="4F81BD" w:themeColor="accent1"/>
          <w:sz w:val="48"/>
        </w:rPr>
      </w:pPr>
      <w:r>
        <w:rPr>
          <w:rFonts w:ascii="Cambria" w:hAnsi="Cambria"/>
          <w:color w:val="4F81BD" w:themeColor="accent1"/>
          <w:sz w:val="48"/>
        </w:rPr>
        <w:t xml:space="preserve">Future Planning </w:t>
      </w:r>
      <w:r w:rsidR="007779ED" w:rsidRPr="009E126B">
        <w:rPr>
          <w:rFonts w:ascii="Cambria" w:hAnsi="Cambria"/>
          <w:color w:val="4F81BD" w:themeColor="accent1"/>
          <w:sz w:val="48"/>
        </w:rPr>
        <w:t xml:space="preserve">Project </w:t>
      </w:r>
      <w:r>
        <w:rPr>
          <w:rFonts w:ascii="Cambria" w:hAnsi="Cambria"/>
          <w:color w:val="4F81BD" w:themeColor="accent1"/>
          <w:sz w:val="48"/>
        </w:rPr>
        <w:t xml:space="preserve">– </w:t>
      </w:r>
      <w:r w:rsidR="0071364E">
        <w:rPr>
          <w:rFonts w:ascii="Cambria" w:hAnsi="Cambria"/>
          <w:color w:val="4F81BD" w:themeColor="accent1"/>
          <w:sz w:val="48"/>
        </w:rPr>
        <w:t>January 2018</w:t>
      </w:r>
    </w:p>
    <w:p w:rsidR="008A208C" w:rsidRPr="00F26C4D" w:rsidRDefault="008A208C" w:rsidP="00F26C4D">
      <w:pPr>
        <w:pStyle w:val="Heading2"/>
        <w:rPr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 w:rsidRPr="00F26C4D">
        <w:rPr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Background</w:t>
      </w:r>
    </w:p>
    <w:p w:rsidR="008A208C" w:rsidRPr="0063649C" w:rsidRDefault="008A208C" w:rsidP="008A208C">
      <w:pPr>
        <w:rPr>
          <w:rFonts w:ascii="Arial" w:hAnsi="Arial" w:cs="Arial"/>
        </w:rPr>
      </w:pPr>
      <w:r w:rsidRPr="0063649C">
        <w:rPr>
          <w:rFonts w:ascii="Arial" w:hAnsi="Arial" w:cs="Arial"/>
        </w:rPr>
        <w:t>The Coordinating Future Care Register (South Hampshire) and Gold Register (North Hampshire) no lo</w:t>
      </w:r>
      <w:r w:rsidR="00A171BA" w:rsidRPr="0063649C">
        <w:rPr>
          <w:rFonts w:ascii="Arial" w:hAnsi="Arial" w:cs="Arial"/>
        </w:rPr>
        <w:t xml:space="preserve">nger exist. </w:t>
      </w:r>
      <w:r w:rsidR="00E9202D">
        <w:rPr>
          <w:rFonts w:ascii="Arial" w:hAnsi="Arial" w:cs="Arial"/>
        </w:rPr>
        <w:t xml:space="preserve">Both were rolled out to provide an electronic Palliative Care Co-ordination System (ePaCCS) across Hampshire. </w:t>
      </w:r>
      <w:r w:rsidR="00A171BA" w:rsidRPr="0063649C">
        <w:rPr>
          <w:rFonts w:ascii="Arial" w:hAnsi="Arial" w:cs="Arial"/>
        </w:rPr>
        <w:t xml:space="preserve">Neither </w:t>
      </w:r>
      <w:r w:rsidR="0063649C" w:rsidRPr="0063649C">
        <w:rPr>
          <w:rFonts w:ascii="Arial" w:hAnsi="Arial" w:cs="Arial"/>
        </w:rPr>
        <w:t>was</w:t>
      </w:r>
      <w:r w:rsidR="00A171BA" w:rsidRPr="0063649C">
        <w:rPr>
          <w:rFonts w:ascii="Arial" w:hAnsi="Arial" w:cs="Arial"/>
        </w:rPr>
        <w:t xml:space="preserve"> well </w:t>
      </w:r>
      <w:r w:rsidR="0063649C">
        <w:rPr>
          <w:rFonts w:ascii="Arial" w:hAnsi="Arial" w:cs="Arial"/>
        </w:rPr>
        <w:t>used over their 2-3 year lifespan</w:t>
      </w:r>
      <w:r w:rsidR="009E126B">
        <w:rPr>
          <w:rFonts w:ascii="Arial" w:hAnsi="Arial" w:cs="Arial"/>
        </w:rPr>
        <w:t>s</w:t>
      </w:r>
      <w:r w:rsidR="00A171BA" w:rsidRPr="0063649C">
        <w:rPr>
          <w:rFonts w:ascii="Arial" w:hAnsi="Arial" w:cs="Arial"/>
        </w:rPr>
        <w:t>. Each required user</w:t>
      </w:r>
      <w:r w:rsidR="0063649C">
        <w:rPr>
          <w:rFonts w:ascii="Arial" w:hAnsi="Arial" w:cs="Arial"/>
        </w:rPr>
        <w:t>s to login, re-enter clinical data</w:t>
      </w:r>
      <w:r w:rsidR="00CC16DB">
        <w:rPr>
          <w:rFonts w:ascii="Arial" w:hAnsi="Arial" w:cs="Arial"/>
        </w:rPr>
        <w:t>,</w:t>
      </w:r>
      <w:r w:rsidR="00A171BA" w:rsidRPr="0063649C">
        <w:rPr>
          <w:rFonts w:ascii="Arial" w:hAnsi="Arial" w:cs="Arial"/>
        </w:rPr>
        <w:t xml:space="preserve"> </w:t>
      </w:r>
      <w:r w:rsidR="0063649C">
        <w:rPr>
          <w:rFonts w:ascii="Arial" w:hAnsi="Arial" w:cs="Arial"/>
        </w:rPr>
        <w:t>already recorded elsewhere</w:t>
      </w:r>
      <w:r w:rsidR="00CC16DB">
        <w:rPr>
          <w:rFonts w:ascii="Arial" w:hAnsi="Arial" w:cs="Arial"/>
        </w:rPr>
        <w:t>,</w:t>
      </w:r>
      <w:r w:rsidR="00A171BA" w:rsidRPr="0063649C">
        <w:rPr>
          <w:rFonts w:ascii="Arial" w:hAnsi="Arial" w:cs="Arial"/>
        </w:rPr>
        <w:t xml:space="preserve"> and relied upon acute services accessing the registers to see if information was avai</w:t>
      </w:r>
      <w:r w:rsidR="00E9202D">
        <w:rPr>
          <w:rFonts w:ascii="Arial" w:hAnsi="Arial" w:cs="Arial"/>
        </w:rPr>
        <w:t>lable for a particular patient</w:t>
      </w:r>
      <w:r w:rsidR="00CC16DB">
        <w:rPr>
          <w:rFonts w:ascii="Arial" w:hAnsi="Arial" w:cs="Arial"/>
        </w:rPr>
        <w:t>; which was generally blank!</w:t>
      </w:r>
    </w:p>
    <w:p w:rsidR="008A208C" w:rsidRPr="00F26C4D" w:rsidRDefault="008A208C" w:rsidP="008A208C">
      <w:pPr>
        <w:pStyle w:val="Heading2"/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 w:rsidRPr="00F26C4D"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Outline</w:t>
      </w:r>
    </w:p>
    <w:p w:rsidR="00A171BA" w:rsidRDefault="00873123" w:rsidP="00A171BA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E9202D">
        <w:rPr>
          <w:rFonts w:ascii="Arial" w:hAnsi="Arial" w:cs="Arial"/>
        </w:rPr>
        <w:t xml:space="preserve"> project has developed identical</w:t>
      </w:r>
      <w:r w:rsidR="00A171BA" w:rsidRPr="0063649C">
        <w:rPr>
          <w:rFonts w:ascii="Arial" w:hAnsi="Arial" w:cs="Arial"/>
        </w:rPr>
        <w:t xml:space="preserve"> template</w:t>
      </w:r>
      <w:r w:rsidR="00E9202D">
        <w:rPr>
          <w:rFonts w:ascii="Arial" w:hAnsi="Arial" w:cs="Arial"/>
        </w:rPr>
        <w:t>s</w:t>
      </w:r>
      <w:r w:rsidR="002973C5" w:rsidRPr="0063649C">
        <w:rPr>
          <w:rFonts w:ascii="Arial" w:hAnsi="Arial" w:cs="Arial"/>
        </w:rPr>
        <w:t xml:space="preserve"> with 4 </w:t>
      </w:r>
      <w:r>
        <w:rPr>
          <w:rFonts w:ascii="Arial" w:hAnsi="Arial" w:cs="Arial"/>
        </w:rPr>
        <w:t>short sections</w:t>
      </w:r>
      <w:r w:rsidR="00A171BA" w:rsidRPr="0063649C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 xml:space="preserve">two </w:t>
      </w:r>
      <w:r w:rsidR="00A171BA" w:rsidRPr="0063649C">
        <w:rPr>
          <w:rFonts w:ascii="Arial" w:hAnsi="Arial" w:cs="Arial"/>
        </w:rPr>
        <w:t>main Hampshire GP clinical IT syst</w:t>
      </w:r>
      <w:r>
        <w:rPr>
          <w:rFonts w:ascii="Arial" w:hAnsi="Arial" w:cs="Arial"/>
        </w:rPr>
        <w:t>ems (SystmONE and EMISW</w:t>
      </w:r>
      <w:r w:rsidR="00FB6977">
        <w:rPr>
          <w:rFonts w:ascii="Arial" w:hAnsi="Arial" w:cs="Arial"/>
        </w:rPr>
        <w:t>eb). The</w:t>
      </w:r>
      <w:r>
        <w:rPr>
          <w:rFonts w:ascii="Arial" w:hAnsi="Arial" w:cs="Arial"/>
        </w:rPr>
        <w:t xml:space="preserve"> template</w:t>
      </w:r>
      <w:r w:rsidR="00E9202D">
        <w:rPr>
          <w:rFonts w:ascii="Arial" w:hAnsi="Arial" w:cs="Arial"/>
        </w:rPr>
        <w:t>s</w:t>
      </w:r>
      <w:r w:rsidR="00A171BA" w:rsidRPr="0063649C">
        <w:rPr>
          <w:rFonts w:ascii="Arial" w:hAnsi="Arial" w:cs="Arial"/>
        </w:rPr>
        <w:t xml:space="preserve"> support</w:t>
      </w:r>
      <w:r w:rsidR="00CC16DB">
        <w:rPr>
          <w:rFonts w:ascii="Arial" w:hAnsi="Arial" w:cs="Arial"/>
        </w:rPr>
        <w:t>:</w:t>
      </w:r>
      <w:r w:rsidR="001A3F57">
        <w:rPr>
          <w:rFonts w:ascii="Arial" w:hAnsi="Arial" w:cs="Arial"/>
        </w:rPr>
        <w:t xml:space="preserve"> Gold Standard Framework m</w:t>
      </w:r>
      <w:r w:rsidR="00CC16DB">
        <w:rPr>
          <w:rFonts w:ascii="Arial" w:hAnsi="Arial" w:cs="Arial"/>
        </w:rPr>
        <w:t>eetings;</w:t>
      </w:r>
      <w:r w:rsidR="00A171BA" w:rsidRPr="0063649C">
        <w:rPr>
          <w:rFonts w:ascii="Arial" w:hAnsi="Arial" w:cs="Arial"/>
        </w:rPr>
        <w:t xml:space="preserve"> record</w:t>
      </w:r>
      <w:r w:rsidR="009E126B">
        <w:rPr>
          <w:rFonts w:ascii="Arial" w:hAnsi="Arial" w:cs="Arial"/>
        </w:rPr>
        <w:t>ing of</w:t>
      </w:r>
      <w:r w:rsidR="00A171BA" w:rsidRPr="0063649C">
        <w:rPr>
          <w:rFonts w:ascii="Arial" w:hAnsi="Arial" w:cs="Arial"/>
        </w:rPr>
        <w:t xml:space="preserve"> a patient</w:t>
      </w:r>
      <w:r>
        <w:rPr>
          <w:rFonts w:ascii="Arial" w:hAnsi="Arial" w:cs="Arial"/>
        </w:rPr>
        <w:t>’s</w:t>
      </w:r>
      <w:r w:rsidR="00FB6977">
        <w:rPr>
          <w:rFonts w:ascii="Arial" w:hAnsi="Arial" w:cs="Arial"/>
        </w:rPr>
        <w:t xml:space="preserve"> F</w:t>
      </w:r>
      <w:r w:rsidR="00A171BA" w:rsidRPr="0063649C">
        <w:rPr>
          <w:rFonts w:ascii="Arial" w:hAnsi="Arial" w:cs="Arial"/>
        </w:rPr>
        <w:t xml:space="preserve">uture </w:t>
      </w:r>
      <w:r w:rsidR="00FB6977">
        <w:rPr>
          <w:rFonts w:ascii="Arial" w:hAnsi="Arial" w:cs="Arial"/>
        </w:rPr>
        <w:t>C</w:t>
      </w:r>
      <w:r w:rsidR="002973C5" w:rsidRPr="0063649C">
        <w:rPr>
          <w:rFonts w:ascii="Arial" w:hAnsi="Arial" w:cs="Arial"/>
        </w:rPr>
        <w:t xml:space="preserve">are </w:t>
      </w:r>
      <w:r w:rsidR="00FB6977">
        <w:rPr>
          <w:rFonts w:ascii="Arial" w:hAnsi="Arial" w:cs="Arial"/>
        </w:rPr>
        <w:t>P</w:t>
      </w:r>
      <w:r w:rsidR="00A171BA" w:rsidRPr="0063649C">
        <w:rPr>
          <w:rFonts w:ascii="Arial" w:hAnsi="Arial" w:cs="Arial"/>
        </w:rPr>
        <w:t xml:space="preserve">lanning </w:t>
      </w:r>
      <w:r>
        <w:rPr>
          <w:rFonts w:ascii="Arial" w:hAnsi="Arial" w:cs="Arial"/>
        </w:rPr>
        <w:t xml:space="preserve">or End of Life </w:t>
      </w:r>
      <w:r w:rsidR="00A171BA" w:rsidRPr="0063649C">
        <w:rPr>
          <w:rFonts w:ascii="Arial" w:hAnsi="Arial" w:cs="Arial"/>
        </w:rPr>
        <w:t xml:space="preserve">choices and </w:t>
      </w:r>
      <w:r w:rsidR="009E126B">
        <w:rPr>
          <w:rFonts w:ascii="Arial" w:hAnsi="Arial" w:cs="Arial"/>
        </w:rPr>
        <w:t xml:space="preserve">Avoiding </w:t>
      </w:r>
      <w:r w:rsidR="00CC16DB">
        <w:rPr>
          <w:rFonts w:ascii="Arial" w:hAnsi="Arial" w:cs="Arial"/>
        </w:rPr>
        <w:t>Unplanned</w:t>
      </w:r>
      <w:r w:rsidR="00A171BA" w:rsidRPr="0063649C">
        <w:rPr>
          <w:rFonts w:ascii="Arial" w:hAnsi="Arial" w:cs="Arial"/>
        </w:rPr>
        <w:t xml:space="preserve"> Admission</w:t>
      </w:r>
      <w:r w:rsidR="002973C5" w:rsidRPr="0063649C">
        <w:rPr>
          <w:rFonts w:ascii="Arial" w:hAnsi="Arial" w:cs="Arial"/>
        </w:rPr>
        <w:t>s</w:t>
      </w:r>
      <w:r w:rsidR="00A171BA" w:rsidRPr="00636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(AUA) </w:t>
      </w:r>
      <w:r w:rsidR="00A171BA" w:rsidRPr="0063649C">
        <w:rPr>
          <w:rFonts w:ascii="Arial" w:hAnsi="Arial" w:cs="Arial"/>
        </w:rPr>
        <w:t>information</w:t>
      </w:r>
      <w:r w:rsidR="009E126B">
        <w:rPr>
          <w:rFonts w:ascii="Arial" w:hAnsi="Arial" w:cs="Arial"/>
        </w:rPr>
        <w:t>. With patient consent</w:t>
      </w:r>
      <w:r w:rsidR="001A3BDE">
        <w:rPr>
          <w:rFonts w:ascii="Arial" w:hAnsi="Arial" w:cs="Arial"/>
        </w:rPr>
        <w:t>,</w:t>
      </w:r>
      <w:r w:rsidR="009E126B">
        <w:rPr>
          <w:rFonts w:ascii="Arial" w:hAnsi="Arial" w:cs="Arial"/>
        </w:rPr>
        <w:t xml:space="preserve"> coded information and attached freetext wi</w:t>
      </w:r>
      <w:r w:rsidR="001A3BDE">
        <w:rPr>
          <w:rFonts w:ascii="Arial" w:hAnsi="Arial" w:cs="Arial"/>
        </w:rPr>
        <w:t>ll automatically transfer to a</w:t>
      </w:r>
      <w:r w:rsidR="009E126B">
        <w:rPr>
          <w:rFonts w:ascii="Arial" w:hAnsi="Arial" w:cs="Arial"/>
        </w:rPr>
        <w:t xml:space="preserve"> patient</w:t>
      </w:r>
      <w:r w:rsidR="001A3BDE">
        <w:rPr>
          <w:rFonts w:ascii="Arial" w:hAnsi="Arial" w:cs="Arial"/>
        </w:rPr>
        <w:t>’</w:t>
      </w:r>
      <w:r w:rsidR="009E126B">
        <w:rPr>
          <w:rFonts w:ascii="Arial" w:hAnsi="Arial" w:cs="Arial"/>
        </w:rPr>
        <w:t xml:space="preserve">s </w:t>
      </w:r>
      <w:r w:rsidR="001A3BDE">
        <w:rPr>
          <w:rFonts w:ascii="Arial" w:hAnsi="Arial" w:cs="Arial"/>
        </w:rPr>
        <w:t xml:space="preserve">National </w:t>
      </w:r>
      <w:r w:rsidR="009E126B">
        <w:rPr>
          <w:rFonts w:ascii="Arial" w:hAnsi="Arial" w:cs="Arial"/>
        </w:rPr>
        <w:t>Summary Care Record</w:t>
      </w:r>
      <w:r w:rsidR="00C9637B">
        <w:rPr>
          <w:rFonts w:ascii="Arial" w:hAnsi="Arial" w:cs="Arial"/>
        </w:rPr>
        <w:t xml:space="preserve"> (SCR)</w:t>
      </w:r>
      <w:r w:rsidR="009E126B">
        <w:rPr>
          <w:rFonts w:ascii="Arial" w:hAnsi="Arial" w:cs="Arial"/>
        </w:rPr>
        <w:t xml:space="preserve"> where it can then be ac</w:t>
      </w:r>
      <w:r w:rsidR="00CC16DB">
        <w:rPr>
          <w:rFonts w:ascii="Arial" w:hAnsi="Arial" w:cs="Arial"/>
        </w:rPr>
        <w:t>cessed by acute care services as</w:t>
      </w:r>
      <w:r w:rsidR="009E126B">
        <w:rPr>
          <w:rFonts w:ascii="Arial" w:hAnsi="Arial" w:cs="Arial"/>
        </w:rPr>
        <w:t xml:space="preserve"> required.</w:t>
      </w:r>
      <w:r w:rsidR="00C9637B">
        <w:rPr>
          <w:rFonts w:ascii="Arial" w:hAnsi="Arial" w:cs="Arial"/>
        </w:rPr>
        <w:t xml:space="preserve"> Templates were rolled out via the LMC to Hampshire November 2016 and to East Berkshire practices, as part of a £300k LCS, April 2017.</w:t>
      </w:r>
    </w:p>
    <w:p w:rsidR="0071364E" w:rsidRDefault="0071364E" w:rsidP="00A171BA">
      <w:pPr>
        <w:rPr>
          <w:rFonts w:ascii="Arial" w:hAnsi="Arial" w:cs="Arial"/>
        </w:rPr>
      </w:pPr>
      <w:r>
        <w:rPr>
          <w:rFonts w:ascii="Arial" w:hAnsi="Arial" w:cs="Arial"/>
        </w:rPr>
        <w:t>The template, instructions for use and other supporting materials are all available free for general practices.</w:t>
      </w:r>
    </w:p>
    <w:p w:rsidR="00A171BA" w:rsidRPr="00DE3254" w:rsidRDefault="00B04FB5" w:rsidP="00B04FB5">
      <w:pPr>
        <w:spacing w:after="0"/>
        <w:rPr>
          <w:rFonts w:ascii="Arial" w:hAnsi="Arial" w:cs="Arial"/>
          <w:b/>
        </w:rPr>
      </w:pPr>
      <w:r w:rsidRPr="00DE3254">
        <w:rPr>
          <w:rFonts w:ascii="Arial" w:hAnsi="Arial" w:cs="Arial"/>
          <w:b/>
        </w:rPr>
        <w:t>The template</w:t>
      </w:r>
      <w:r w:rsidR="00A171BA" w:rsidRPr="00DE3254">
        <w:rPr>
          <w:rFonts w:ascii="Arial" w:hAnsi="Arial" w:cs="Arial"/>
          <w:b/>
        </w:rPr>
        <w:t>;</w:t>
      </w:r>
    </w:p>
    <w:p w:rsidR="00C1737B" w:rsidRPr="00DE3254" w:rsidRDefault="00C1737B" w:rsidP="00CC16DB">
      <w:pPr>
        <w:pStyle w:val="ListParagraph"/>
        <w:numPr>
          <w:ilvl w:val="0"/>
          <w:numId w:val="1"/>
        </w:numPr>
        <w:spacing w:after="80"/>
        <w:ind w:left="284" w:hanging="284"/>
        <w:contextualSpacing w:val="0"/>
        <w:rPr>
          <w:rFonts w:ascii="Arial" w:hAnsi="Arial" w:cs="Arial"/>
          <w:b/>
        </w:rPr>
      </w:pPr>
      <w:proofErr w:type="gramStart"/>
      <w:r w:rsidRPr="00DE3254">
        <w:rPr>
          <w:rFonts w:ascii="Arial" w:hAnsi="Arial" w:cs="Arial"/>
          <w:b/>
        </w:rPr>
        <w:t>is</w:t>
      </w:r>
      <w:proofErr w:type="gramEnd"/>
      <w:r w:rsidRPr="00DE3254">
        <w:rPr>
          <w:rFonts w:ascii="Arial" w:hAnsi="Arial" w:cs="Arial"/>
          <w:b/>
        </w:rPr>
        <w:t xml:space="preserve"> fully coded (CTV3, READ2 &amp; by </w:t>
      </w:r>
      <w:r w:rsidR="0071364E">
        <w:rPr>
          <w:rFonts w:ascii="Arial" w:hAnsi="Arial" w:cs="Arial"/>
          <w:b/>
        </w:rPr>
        <w:t>April 2018</w:t>
      </w:r>
      <w:r w:rsidRPr="00DE3254">
        <w:rPr>
          <w:rFonts w:ascii="Arial" w:hAnsi="Arial" w:cs="Arial"/>
          <w:b/>
        </w:rPr>
        <w:t xml:space="preserve"> SNOME</w:t>
      </w:r>
      <w:r w:rsidR="009E126B">
        <w:rPr>
          <w:rFonts w:ascii="Arial" w:hAnsi="Arial" w:cs="Arial"/>
          <w:b/>
        </w:rPr>
        <w:t>D CT) supporting automatic data</w:t>
      </w:r>
      <w:r w:rsidRPr="00DE3254">
        <w:rPr>
          <w:rFonts w:ascii="Arial" w:hAnsi="Arial" w:cs="Arial"/>
          <w:b/>
        </w:rPr>
        <w:t xml:space="preserve"> extraction of new or upda</w:t>
      </w:r>
      <w:r w:rsidR="009E126B">
        <w:rPr>
          <w:rFonts w:ascii="Arial" w:hAnsi="Arial" w:cs="Arial"/>
          <w:b/>
        </w:rPr>
        <w:t xml:space="preserve">ted data to the </w:t>
      </w:r>
      <w:r w:rsidR="00C9637B">
        <w:rPr>
          <w:rFonts w:ascii="Arial" w:hAnsi="Arial" w:cs="Arial"/>
          <w:b/>
        </w:rPr>
        <w:t>SCR, with patient consent</w:t>
      </w:r>
      <w:r w:rsidRPr="00DE3254">
        <w:rPr>
          <w:rFonts w:ascii="Arial" w:hAnsi="Arial" w:cs="Arial"/>
          <w:b/>
        </w:rPr>
        <w:t>.</w:t>
      </w:r>
    </w:p>
    <w:p w:rsidR="00C1737B" w:rsidRPr="00DE3254" w:rsidRDefault="00C9637B" w:rsidP="00CC16DB">
      <w:pPr>
        <w:pStyle w:val="ListParagraph"/>
        <w:numPr>
          <w:ilvl w:val="0"/>
          <w:numId w:val="1"/>
        </w:numPr>
        <w:spacing w:after="80"/>
        <w:ind w:left="284" w:hanging="284"/>
        <w:contextualSpacing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coded</w:t>
      </w:r>
      <w:proofErr w:type="gramEnd"/>
      <w:r>
        <w:rPr>
          <w:rFonts w:ascii="Arial" w:hAnsi="Arial" w:cs="Arial"/>
          <w:b/>
        </w:rPr>
        <w:t xml:space="preserve"> data also</w:t>
      </w:r>
      <w:r w:rsidR="00C1737B" w:rsidRPr="00DE3254">
        <w:rPr>
          <w:rFonts w:ascii="Arial" w:hAnsi="Arial" w:cs="Arial"/>
          <w:b/>
        </w:rPr>
        <w:t xml:space="preserve"> upload</w:t>
      </w:r>
      <w:r>
        <w:rPr>
          <w:rFonts w:ascii="Arial" w:hAnsi="Arial" w:cs="Arial"/>
          <w:b/>
        </w:rPr>
        <w:t>s</w:t>
      </w:r>
      <w:r w:rsidR="00C1737B" w:rsidRPr="00DE3254">
        <w:rPr>
          <w:rFonts w:ascii="Arial" w:hAnsi="Arial" w:cs="Arial"/>
          <w:b/>
        </w:rPr>
        <w:t xml:space="preserve"> to the </w:t>
      </w:r>
      <w:r w:rsidR="009E126B">
        <w:rPr>
          <w:rFonts w:ascii="Arial" w:hAnsi="Arial" w:cs="Arial"/>
          <w:b/>
        </w:rPr>
        <w:t>Hampshire Health</w:t>
      </w:r>
      <w:r w:rsidR="00C1737B" w:rsidRPr="00DE3254">
        <w:rPr>
          <w:rFonts w:ascii="Arial" w:hAnsi="Arial" w:cs="Arial"/>
          <w:b/>
        </w:rPr>
        <w:t xml:space="preserve"> Record</w:t>
      </w:r>
      <w:r w:rsidR="0071364E">
        <w:rPr>
          <w:rFonts w:ascii="Arial" w:hAnsi="Arial" w:cs="Arial"/>
          <w:b/>
        </w:rPr>
        <w:t xml:space="preserve"> or Berkshire C</w:t>
      </w:r>
      <w:r w:rsidR="00C1737B" w:rsidRPr="00DE325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Which allows extensive data &amp; activity reporting across Hampshire.</w:t>
      </w:r>
      <w:proofErr w:type="gramEnd"/>
    </w:p>
    <w:p w:rsidR="00B04FB5" w:rsidRDefault="00CC16DB" w:rsidP="00CC16DB">
      <w:pPr>
        <w:pStyle w:val="ListParagraph"/>
        <w:numPr>
          <w:ilvl w:val="0"/>
          <w:numId w:val="1"/>
        </w:numPr>
        <w:spacing w:after="80"/>
        <w:ind w:left="284" w:hanging="284"/>
        <w:contextualSpacing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removes</w:t>
      </w:r>
      <w:proofErr w:type="gramEnd"/>
      <w:r w:rsidR="00C1737B">
        <w:rPr>
          <w:rFonts w:ascii="Arial" w:hAnsi="Arial" w:cs="Arial"/>
          <w:b/>
        </w:rPr>
        <w:t xml:space="preserve"> the need to </w:t>
      </w:r>
      <w:r>
        <w:rPr>
          <w:rFonts w:ascii="Arial" w:hAnsi="Arial" w:cs="Arial"/>
          <w:b/>
        </w:rPr>
        <w:t xml:space="preserve">re-enter clinic data </w:t>
      </w:r>
      <w:r w:rsidR="00C1737B">
        <w:rPr>
          <w:rFonts w:ascii="Arial" w:hAnsi="Arial" w:cs="Arial"/>
          <w:b/>
        </w:rPr>
        <w:t xml:space="preserve">to achieve </w:t>
      </w:r>
      <w:r w:rsidR="00C9637B">
        <w:rPr>
          <w:rFonts w:ascii="Arial" w:hAnsi="Arial" w:cs="Arial"/>
          <w:b/>
        </w:rPr>
        <w:t xml:space="preserve">ePaCCS </w:t>
      </w:r>
      <w:r w:rsidR="00873123" w:rsidRPr="00DE3254">
        <w:rPr>
          <w:rFonts w:ascii="Arial" w:hAnsi="Arial" w:cs="Arial"/>
          <w:b/>
        </w:rPr>
        <w:t>requirements</w:t>
      </w:r>
      <w:r w:rsidR="00A171BA" w:rsidRPr="00DE3254">
        <w:rPr>
          <w:rFonts w:ascii="Arial" w:hAnsi="Arial" w:cs="Arial"/>
          <w:b/>
        </w:rPr>
        <w:t>.</w:t>
      </w:r>
    </w:p>
    <w:p w:rsidR="00C1737B" w:rsidRDefault="00C1737B" w:rsidP="00CC16DB">
      <w:pPr>
        <w:pStyle w:val="ListParagraph"/>
        <w:numPr>
          <w:ilvl w:val="0"/>
          <w:numId w:val="1"/>
        </w:numPr>
        <w:spacing w:after="80"/>
        <w:ind w:left="284" w:hanging="284"/>
        <w:contextualSpacing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</w:t>
      </w:r>
      <w:r w:rsidR="006B07B4">
        <w:rPr>
          <w:rFonts w:ascii="Arial" w:hAnsi="Arial" w:cs="Arial"/>
          <w:b/>
        </w:rPr>
        <w:t>upports</w:t>
      </w:r>
      <w:proofErr w:type="gramEnd"/>
      <w:r>
        <w:rPr>
          <w:rFonts w:ascii="Arial" w:hAnsi="Arial" w:cs="Arial"/>
          <w:b/>
        </w:rPr>
        <w:t xml:space="preserve"> production of a GSF Register report, showing all </w:t>
      </w:r>
      <w:r w:rsidR="001A3F57">
        <w:rPr>
          <w:rFonts w:ascii="Arial" w:hAnsi="Arial" w:cs="Arial"/>
          <w:b/>
        </w:rPr>
        <w:t xml:space="preserve">practice </w:t>
      </w:r>
      <w:r>
        <w:rPr>
          <w:rFonts w:ascii="Arial" w:hAnsi="Arial" w:cs="Arial"/>
          <w:b/>
        </w:rPr>
        <w:t xml:space="preserve">GSF </w:t>
      </w:r>
      <w:r w:rsidR="006B07B4">
        <w:rPr>
          <w:rFonts w:ascii="Arial" w:hAnsi="Arial" w:cs="Arial"/>
          <w:b/>
        </w:rPr>
        <w:t>patients,</w:t>
      </w:r>
      <w:r>
        <w:rPr>
          <w:rFonts w:ascii="Arial" w:hAnsi="Arial" w:cs="Arial"/>
          <w:b/>
        </w:rPr>
        <w:t xml:space="preserve"> which services </w:t>
      </w:r>
      <w:r w:rsidR="006B07B4">
        <w:rPr>
          <w:rFonts w:ascii="Arial" w:hAnsi="Arial" w:cs="Arial"/>
          <w:b/>
        </w:rPr>
        <w:t xml:space="preserve">they are receiving </w:t>
      </w:r>
      <w:r>
        <w:rPr>
          <w:rFonts w:ascii="Arial" w:hAnsi="Arial" w:cs="Arial"/>
          <w:b/>
        </w:rPr>
        <w:t xml:space="preserve">and </w:t>
      </w:r>
      <w:r w:rsidR="001A3F57">
        <w:rPr>
          <w:rFonts w:ascii="Arial" w:hAnsi="Arial" w:cs="Arial"/>
          <w:b/>
        </w:rPr>
        <w:t>their prognostic stage</w:t>
      </w:r>
      <w:r w:rsidR="006B07B4">
        <w:rPr>
          <w:rFonts w:ascii="Arial" w:hAnsi="Arial" w:cs="Arial"/>
          <w:b/>
        </w:rPr>
        <w:t>.</w:t>
      </w:r>
      <w:r w:rsidR="00C9637B">
        <w:rPr>
          <w:rFonts w:ascii="Arial" w:hAnsi="Arial" w:cs="Arial"/>
          <w:b/>
        </w:rPr>
        <w:t xml:space="preserve"> See Fig 1.</w:t>
      </w:r>
    </w:p>
    <w:p w:rsidR="00C9637B" w:rsidRDefault="00EB0892" w:rsidP="00C9637B">
      <w:pPr>
        <w:spacing w:after="12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3E6F7A3" wp14:editId="5EB709D8">
            <wp:extent cx="4072270" cy="1977656"/>
            <wp:effectExtent l="0" t="0" r="444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" t="5427" r="2046" b="22362"/>
                    <a:stretch/>
                  </pic:blipFill>
                  <pic:spPr bwMode="auto">
                    <a:xfrm>
                      <a:off x="0" y="0"/>
                      <a:ext cx="4083912" cy="198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892" w:rsidRPr="00C9637B" w:rsidRDefault="00C9637B" w:rsidP="00C9637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As we will be losing </w:t>
      </w:r>
      <w:proofErr w:type="spellStart"/>
      <w:r>
        <w:rPr>
          <w:rFonts w:ascii="Arial" w:hAnsi="Arial" w:cs="Arial"/>
        </w:rPr>
        <w:t>MiQuest</w:t>
      </w:r>
      <w:proofErr w:type="spellEnd"/>
      <w:r>
        <w:rPr>
          <w:rFonts w:ascii="Arial" w:hAnsi="Arial" w:cs="Arial"/>
        </w:rPr>
        <w:t xml:space="preserve"> in 2018</w:t>
      </w:r>
      <w:r w:rsidR="0071364E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with the arrival of SNOMED CT, practice reports are being developed that will run within EMIS and S1.</w:t>
      </w:r>
    </w:p>
    <w:p w:rsidR="006B07B4" w:rsidRDefault="006B07B4" w:rsidP="00CC16DB">
      <w:pPr>
        <w:pStyle w:val="ListParagraph"/>
        <w:numPr>
          <w:ilvl w:val="0"/>
          <w:numId w:val="1"/>
        </w:numPr>
        <w:spacing w:after="80"/>
        <w:ind w:left="284" w:hanging="284"/>
        <w:contextualSpacing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supports</w:t>
      </w:r>
      <w:proofErr w:type="gramEnd"/>
      <w:r>
        <w:rPr>
          <w:rFonts w:ascii="Arial" w:hAnsi="Arial" w:cs="Arial"/>
          <w:b/>
        </w:rPr>
        <w:t xml:space="preserve"> produ</w:t>
      </w:r>
      <w:r w:rsidR="001A3F57">
        <w:rPr>
          <w:rFonts w:ascii="Arial" w:hAnsi="Arial" w:cs="Arial"/>
          <w:b/>
        </w:rPr>
        <w:t>ction of printed</w:t>
      </w:r>
      <w:r w:rsidR="00C9637B">
        <w:rPr>
          <w:rFonts w:ascii="Arial" w:hAnsi="Arial" w:cs="Arial"/>
          <w:b/>
        </w:rPr>
        <w:t xml:space="preserve"> Future</w:t>
      </w:r>
      <w:r>
        <w:rPr>
          <w:rFonts w:ascii="Arial" w:hAnsi="Arial" w:cs="Arial"/>
          <w:b/>
        </w:rPr>
        <w:t xml:space="preserve"> Care Plans</w:t>
      </w:r>
      <w:r w:rsidR="00C9637B">
        <w:rPr>
          <w:rFonts w:ascii="Arial" w:hAnsi="Arial" w:cs="Arial"/>
          <w:b/>
        </w:rPr>
        <w:t>, if a</w:t>
      </w:r>
      <w:r w:rsidR="00CC16DB">
        <w:rPr>
          <w:rFonts w:ascii="Arial" w:hAnsi="Arial" w:cs="Arial"/>
          <w:b/>
        </w:rPr>
        <w:t xml:space="preserve"> patient</w:t>
      </w:r>
      <w:r w:rsidR="00C9637B">
        <w:rPr>
          <w:rFonts w:ascii="Arial" w:hAnsi="Arial" w:cs="Arial"/>
          <w:b/>
        </w:rPr>
        <w:t xml:space="preserve"> wants this</w:t>
      </w:r>
      <w:r>
        <w:rPr>
          <w:rFonts w:ascii="Arial" w:hAnsi="Arial" w:cs="Arial"/>
          <w:b/>
        </w:rPr>
        <w:t>.</w:t>
      </w:r>
    </w:p>
    <w:p w:rsidR="009E126B" w:rsidRDefault="00A53F49" w:rsidP="00CC16DB">
      <w:pPr>
        <w:pStyle w:val="ListParagraph"/>
        <w:numPr>
          <w:ilvl w:val="0"/>
          <w:numId w:val="1"/>
        </w:numPr>
        <w:spacing w:after="80"/>
        <w:ind w:left="284" w:hanging="284"/>
        <w:contextualSpacing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removes</w:t>
      </w:r>
      <w:proofErr w:type="gramEnd"/>
      <w:r>
        <w:rPr>
          <w:rFonts w:ascii="Arial" w:hAnsi="Arial" w:cs="Arial"/>
          <w:b/>
        </w:rPr>
        <w:t xml:space="preserve"> the need to </w:t>
      </w:r>
      <w:r w:rsidR="00C9637B">
        <w:rPr>
          <w:rFonts w:ascii="Arial" w:hAnsi="Arial" w:cs="Arial"/>
          <w:b/>
        </w:rPr>
        <w:t xml:space="preserve">fax or </w:t>
      </w:r>
      <w:proofErr w:type="spellStart"/>
      <w:r w:rsidR="00C9637B">
        <w:rPr>
          <w:rFonts w:ascii="Arial" w:hAnsi="Arial" w:cs="Arial"/>
          <w:b/>
        </w:rPr>
        <w:t>NHSmail</w:t>
      </w:r>
      <w:proofErr w:type="spellEnd"/>
      <w:r w:rsidR="00C9637B">
        <w:rPr>
          <w:rFonts w:ascii="Arial" w:hAnsi="Arial" w:cs="Arial"/>
          <w:b/>
        </w:rPr>
        <w:t xml:space="preserve"> details of poorly patients to ambulance, hospice, community and OOH services.</w:t>
      </w:r>
    </w:p>
    <w:p w:rsidR="00196D28" w:rsidRPr="00CC16DB" w:rsidRDefault="00EA12F2" w:rsidP="00EA12F2">
      <w:pPr>
        <w:pStyle w:val="ListParagraph"/>
        <w:numPr>
          <w:ilvl w:val="0"/>
          <w:numId w:val="0"/>
        </w:numPr>
        <w:spacing w:after="0" w:line="240" w:lineRule="auto"/>
        <w:rPr>
          <w:rFonts w:ascii="Arial" w:hAnsi="Arial" w:cs="Arial"/>
          <w:b/>
        </w:rPr>
      </w:pPr>
      <w:r>
        <w:rPr>
          <w:rFonts w:eastAsiaTheme="majorEastAsia"/>
          <w:noProof/>
          <w:lang w:eastAsia="en-GB"/>
        </w:rPr>
        <w:drawing>
          <wp:inline distT="0" distB="0" distL="0" distR="0">
            <wp:extent cx="3016451" cy="2176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 TAB1 V2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000" cy="218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708764" cy="217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S TAB2 V2_1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410" cy="218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D28" w:rsidRDefault="00EA12F2" w:rsidP="00EA12F2">
      <w:pPr>
        <w:spacing w:after="0" w:line="240" w:lineRule="auto"/>
        <w:rPr>
          <w:rFonts w:ascii="Arial" w:hAnsi="Arial" w:cs="Arial"/>
          <w:color w:val="95B3D7" w:themeColor="accent1" w:themeTint="99"/>
        </w:rPr>
      </w:pPr>
      <w:r>
        <w:rPr>
          <w:rFonts w:ascii="Arial" w:hAnsi="Arial" w:cs="Arial"/>
          <w:noProof/>
          <w:color w:val="95B3D7" w:themeColor="accent1" w:themeTint="99"/>
          <w:lang w:eastAsia="en-GB"/>
        </w:rPr>
        <w:drawing>
          <wp:inline distT="0" distB="0" distL="0" distR="0">
            <wp:extent cx="2902688" cy="208845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S TAB3 V2_1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248" cy="20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95B3D7" w:themeColor="accent1" w:themeTint="99"/>
          <w:lang w:eastAsia="en-GB"/>
        </w:rPr>
        <w:drawing>
          <wp:inline distT="0" distB="0" distL="0" distR="0">
            <wp:extent cx="2860158" cy="20790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 TAB5 V2_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2"/>
                    <a:stretch/>
                  </pic:blipFill>
                  <pic:spPr bwMode="auto">
                    <a:xfrm>
                      <a:off x="0" y="0"/>
                      <a:ext cx="2870372" cy="2086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B23" w:rsidRDefault="00343B23">
      <w:pPr>
        <w:rPr>
          <w:rFonts w:ascii="Arial" w:hAnsi="Arial" w:cs="Arial"/>
          <w:color w:val="95B3D7" w:themeColor="accent1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71364E" w:rsidTr="0071364E">
        <w:tc>
          <w:tcPr>
            <w:tcW w:w="7054" w:type="dxa"/>
          </w:tcPr>
          <w:p w:rsidR="0071364E" w:rsidRPr="00196D28" w:rsidRDefault="0071364E" w:rsidP="00593E98">
            <w:pPr>
              <w:pStyle w:val="Heading2"/>
              <w:outlineLvl w:val="1"/>
              <w:rPr>
                <w:rFonts w:ascii="Arial" w:hAnsi="Arial" w:cs="Arial"/>
                <w:color w:val="95B3D7" w:themeColor="accent1" w:themeTint="99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95B3D7" w:themeColor="accent1" w:themeTint="99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  <w:t>Past</w:t>
            </w:r>
            <w:r>
              <w:rPr>
                <w:rFonts w:ascii="Arial" w:hAnsi="Arial" w:cs="Arial"/>
                <w:color w:val="95B3D7" w:themeColor="accent1" w:themeTint="99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  <w:t xml:space="preserve"> Milestones</w:t>
            </w:r>
          </w:p>
        </w:tc>
        <w:tc>
          <w:tcPr>
            <w:tcW w:w="2188" w:type="dxa"/>
          </w:tcPr>
          <w:p w:rsidR="0071364E" w:rsidRPr="0071364E" w:rsidRDefault="0071364E" w:rsidP="00593E98">
            <w:pPr>
              <w:jc w:val="center"/>
              <w:rPr>
                <w:rFonts w:ascii="Arial" w:eastAsiaTheme="majorEastAsia" w:hAnsi="Arial" w:cs="Arial"/>
                <w:b/>
                <w:bCs/>
                <w:outline/>
                <w:color w:val="4F81BD" w:themeColor="accent1"/>
                <w:sz w:val="34"/>
                <w:szCs w:val="34"/>
                <w14:textOutline w14:w="9525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1364E" w:rsidTr="0071364E">
        <w:tc>
          <w:tcPr>
            <w:tcW w:w="7054" w:type="dxa"/>
          </w:tcPr>
          <w:p w:rsidR="0071364E" w:rsidRDefault="0071364E" w:rsidP="0071364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 Harnessing Technology funding (£63k awarded)</w:t>
            </w:r>
          </w:p>
        </w:tc>
        <w:tc>
          <w:tcPr>
            <w:tcW w:w="2188" w:type="dxa"/>
          </w:tcPr>
          <w:p w:rsidR="0071364E" w:rsidRDefault="0071364E" w:rsidP="00593E98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2017</w:t>
            </w:r>
          </w:p>
        </w:tc>
      </w:tr>
      <w:tr w:rsidR="0071364E" w:rsidTr="0071364E">
        <w:tc>
          <w:tcPr>
            <w:tcW w:w="7054" w:type="dxa"/>
          </w:tcPr>
          <w:p w:rsidR="0071364E" w:rsidRDefault="0071364E" w:rsidP="0071364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Planning Version 2 released. Including frailty codes to support the new July 2017 GP contract</w:t>
            </w:r>
          </w:p>
        </w:tc>
        <w:tc>
          <w:tcPr>
            <w:tcW w:w="2188" w:type="dxa"/>
          </w:tcPr>
          <w:p w:rsidR="0071364E" w:rsidRDefault="0071364E" w:rsidP="00593E98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2017</w:t>
            </w:r>
          </w:p>
        </w:tc>
      </w:tr>
      <w:tr w:rsidR="0071364E" w:rsidTr="0071364E">
        <w:tc>
          <w:tcPr>
            <w:tcW w:w="7054" w:type="dxa"/>
          </w:tcPr>
          <w:p w:rsidR="0071364E" w:rsidRDefault="0071364E" w:rsidP="00EA19A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Hampshire OOH GP services able to access Summary Care Record (SCR)</w:t>
            </w:r>
          </w:p>
        </w:tc>
        <w:tc>
          <w:tcPr>
            <w:tcW w:w="2188" w:type="dxa"/>
          </w:tcPr>
          <w:p w:rsidR="0071364E" w:rsidRDefault="0071364E" w:rsidP="00EA19AA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2017</w:t>
            </w:r>
          </w:p>
        </w:tc>
      </w:tr>
      <w:tr w:rsidR="0071364E" w:rsidTr="0071364E">
        <w:tc>
          <w:tcPr>
            <w:tcW w:w="7054" w:type="dxa"/>
          </w:tcPr>
          <w:p w:rsidR="0071364E" w:rsidRDefault="0071364E" w:rsidP="00EA19A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Planning Administrator in post.</w:t>
            </w:r>
          </w:p>
        </w:tc>
        <w:tc>
          <w:tcPr>
            <w:tcW w:w="2188" w:type="dxa"/>
          </w:tcPr>
          <w:p w:rsidR="0071364E" w:rsidRDefault="0071364E" w:rsidP="00EA19AA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2017</w:t>
            </w:r>
          </w:p>
        </w:tc>
      </w:tr>
      <w:tr w:rsidR="0071364E" w:rsidTr="0071364E">
        <w:tc>
          <w:tcPr>
            <w:tcW w:w="7054" w:type="dxa"/>
          </w:tcPr>
          <w:p w:rsidR="0071364E" w:rsidRDefault="0071364E" w:rsidP="00593E9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FP Project presented via NHS England Harnessing Technology </w:t>
            </w:r>
            <w:proofErr w:type="spellStart"/>
            <w:r>
              <w:rPr>
                <w:rFonts w:ascii="Arial" w:hAnsi="Arial" w:cs="Arial"/>
              </w:rPr>
              <w:t>WeBeX</w:t>
            </w:r>
            <w:proofErr w:type="spellEnd"/>
          </w:p>
        </w:tc>
        <w:tc>
          <w:tcPr>
            <w:tcW w:w="2188" w:type="dxa"/>
          </w:tcPr>
          <w:p w:rsidR="0071364E" w:rsidRDefault="0071364E" w:rsidP="00593E98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1pm, 8</w:t>
            </w:r>
            <w:r w:rsidRPr="00B73BF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 2017</w:t>
            </w:r>
          </w:p>
        </w:tc>
      </w:tr>
      <w:tr w:rsidR="0071364E" w:rsidTr="0071364E">
        <w:tc>
          <w:tcPr>
            <w:tcW w:w="7054" w:type="dxa"/>
          </w:tcPr>
          <w:p w:rsidR="0071364E" w:rsidRDefault="0071364E" w:rsidP="0051395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Future Planning: My Wishes leaflet sent to 1200 hospice volunteers for feedback</w:t>
            </w:r>
          </w:p>
        </w:tc>
        <w:tc>
          <w:tcPr>
            <w:tcW w:w="2188" w:type="dxa"/>
          </w:tcPr>
          <w:p w:rsidR="0071364E" w:rsidRDefault="0071364E" w:rsidP="00513951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2017</w:t>
            </w:r>
          </w:p>
        </w:tc>
      </w:tr>
      <w:tr w:rsidR="0071364E" w:rsidTr="0071364E">
        <w:tc>
          <w:tcPr>
            <w:tcW w:w="7054" w:type="dxa"/>
          </w:tcPr>
          <w:p w:rsidR="0071364E" w:rsidRDefault="0071364E" w:rsidP="00593E9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ew Project Data reports produced by the CHIE Analytics team</w:t>
            </w:r>
            <w:r>
              <w:rPr>
                <w:rFonts w:ascii="Arial" w:hAnsi="Arial" w:cs="Arial"/>
              </w:rPr>
              <w:t>. Will allow the same reports to be developed in Berkshire once GPs are connected to Care Centric.</w:t>
            </w:r>
          </w:p>
        </w:tc>
        <w:tc>
          <w:tcPr>
            <w:tcW w:w="2188" w:type="dxa"/>
          </w:tcPr>
          <w:p w:rsidR="0071364E" w:rsidRDefault="0071364E" w:rsidP="00593E98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>
              <w:rPr>
                <w:rFonts w:ascii="Arial" w:hAnsi="Arial" w:cs="Arial"/>
              </w:rPr>
              <w:t>ember 2017</w:t>
            </w:r>
          </w:p>
        </w:tc>
      </w:tr>
      <w:tr w:rsidR="0071364E" w:rsidTr="0071364E">
        <w:tc>
          <w:tcPr>
            <w:tcW w:w="7054" w:type="dxa"/>
          </w:tcPr>
          <w:p w:rsidR="0071364E" w:rsidRDefault="0071364E" w:rsidP="0071364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Coast Ambulance Service </w:t>
            </w:r>
            <w:proofErr w:type="spellStart"/>
            <w:r>
              <w:rPr>
                <w:rFonts w:ascii="Arial" w:hAnsi="Arial" w:cs="Arial"/>
              </w:rPr>
              <w:t>EoL</w:t>
            </w:r>
            <w:proofErr w:type="spellEnd"/>
            <w:r>
              <w:rPr>
                <w:rFonts w:ascii="Arial" w:hAnsi="Arial" w:cs="Arial"/>
              </w:rPr>
              <w:t xml:space="preserve"> FAQs completed and ready to go, once smartcard issues resolved, alongside SCR FAQs and My Wishes leaflet.</w:t>
            </w:r>
          </w:p>
        </w:tc>
        <w:tc>
          <w:tcPr>
            <w:tcW w:w="2188" w:type="dxa"/>
          </w:tcPr>
          <w:p w:rsidR="0071364E" w:rsidRDefault="0071364E" w:rsidP="00C61F81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2018</w:t>
            </w:r>
          </w:p>
        </w:tc>
      </w:tr>
      <w:tr w:rsidR="0071364E" w:rsidTr="0071364E">
        <w:tc>
          <w:tcPr>
            <w:tcW w:w="7054" w:type="dxa"/>
          </w:tcPr>
          <w:p w:rsidR="0071364E" w:rsidRPr="0071364E" w:rsidRDefault="0071364E" w:rsidP="00593E98">
            <w:pPr>
              <w:spacing w:before="20" w:after="20"/>
              <w:rPr>
                <w:rFonts w:ascii="Arial" w:eastAsiaTheme="majorEastAsia" w:hAnsi="Arial" w:cs="Arial"/>
                <w:b/>
                <w:bCs/>
                <w:outline/>
                <w:color w:val="4F81BD" w:themeColor="accent1"/>
                <w:sz w:val="34"/>
                <w:szCs w:val="34"/>
                <w14:textOutline w14:w="9525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 w:cs="Arial"/>
              </w:rPr>
              <w:t xml:space="preserve">Printing of the Future Planning: My Wishes leaflet. A </w:t>
            </w:r>
            <w:proofErr w:type="spellStart"/>
            <w:r>
              <w:rPr>
                <w:rFonts w:ascii="Arial" w:hAnsi="Arial" w:cs="Arial"/>
              </w:rPr>
              <w:t>self complete</w:t>
            </w:r>
            <w:proofErr w:type="spellEnd"/>
            <w:r>
              <w:rPr>
                <w:rFonts w:ascii="Arial" w:hAnsi="Arial" w:cs="Arial"/>
              </w:rPr>
              <w:t xml:space="preserve"> form that encourages recording of preferences for care and SCR consent, that is then handed to the GP practice for addition to a patients’ record.</w:t>
            </w:r>
          </w:p>
        </w:tc>
        <w:tc>
          <w:tcPr>
            <w:tcW w:w="2188" w:type="dxa"/>
          </w:tcPr>
          <w:p w:rsidR="0071364E" w:rsidRPr="0071364E" w:rsidRDefault="0071364E" w:rsidP="00593E98">
            <w:pPr>
              <w:spacing w:before="20" w:after="20"/>
              <w:ind w:right="237"/>
              <w:jc w:val="right"/>
              <w:rPr>
                <w:rFonts w:ascii="Arial" w:eastAsiaTheme="majorEastAsia" w:hAnsi="Arial" w:cs="Arial"/>
                <w:b/>
                <w:bCs/>
                <w:outline/>
                <w:color w:val="4F81BD" w:themeColor="accent1"/>
                <w:sz w:val="34"/>
                <w:szCs w:val="34"/>
                <w14:textOutline w14:w="9525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 w:cs="Arial"/>
              </w:rPr>
              <w:t>January 2018</w:t>
            </w:r>
          </w:p>
        </w:tc>
      </w:tr>
      <w:tr w:rsidR="0071364E" w:rsidTr="0071364E">
        <w:trPr>
          <w:trHeight w:val="1024"/>
        </w:trPr>
        <w:tc>
          <w:tcPr>
            <w:tcW w:w="7054" w:type="dxa"/>
          </w:tcPr>
          <w:p w:rsidR="0071364E" w:rsidRDefault="0071364E" w:rsidP="00593E9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:rsidR="0071364E" w:rsidRDefault="0071364E" w:rsidP="00593E98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</w:p>
        </w:tc>
      </w:tr>
      <w:tr w:rsidR="0071364E" w:rsidTr="001A3F57">
        <w:tc>
          <w:tcPr>
            <w:tcW w:w="7054" w:type="dxa"/>
          </w:tcPr>
          <w:p w:rsidR="0071364E" w:rsidRPr="00196D28" w:rsidRDefault="0071364E" w:rsidP="00196D28">
            <w:pPr>
              <w:pStyle w:val="Heading2"/>
              <w:outlineLvl w:val="1"/>
              <w:rPr>
                <w:rFonts w:ascii="Arial" w:hAnsi="Arial" w:cs="Arial"/>
                <w:color w:val="95B3D7" w:themeColor="accent1" w:themeTint="99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color w:val="95B3D7" w:themeColor="accent1" w:themeTint="99"/>
                <w14:textFill>
                  <w14:solidFill>
                    <w14:schemeClr w14:val="accent1">
                      <w14:lumMod w14:val="60000"/>
                      <w14:lumOff w14:val="40000"/>
                    </w14:schemeClr>
                  </w14:solidFill>
                </w14:textFill>
              </w:rPr>
              <w:t>Future Milestones</w:t>
            </w:r>
          </w:p>
        </w:tc>
        <w:tc>
          <w:tcPr>
            <w:tcW w:w="2188" w:type="dxa"/>
            <w:vAlign w:val="center"/>
          </w:tcPr>
          <w:p w:rsidR="0071364E" w:rsidRDefault="0071364E" w:rsidP="001A3F57">
            <w:pPr>
              <w:jc w:val="center"/>
              <w:rPr>
                <w:rFonts w:ascii="Arial" w:eastAsiaTheme="majorEastAsia" w:hAnsi="Arial" w:cs="Arial"/>
                <w:b/>
                <w:bCs/>
                <w:outline/>
                <w:color w:val="95B3D7" w:themeColor="accent1" w:themeTint="99"/>
                <w:sz w:val="34"/>
                <w:szCs w:val="34"/>
                <w14:textOutline w14:w="9525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554F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Rollout </w:t>
            </w:r>
            <w:proofErr w:type="spellStart"/>
            <w:r>
              <w:rPr>
                <w:rFonts w:ascii="Arial" w:hAnsi="Arial" w:cs="Arial"/>
              </w:rPr>
              <w:t>EoL</w:t>
            </w:r>
            <w:proofErr w:type="spellEnd"/>
            <w:r>
              <w:rPr>
                <w:rFonts w:ascii="Arial" w:hAnsi="Arial" w:cs="Arial"/>
              </w:rPr>
              <w:t xml:space="preserve"> and SCR FAQs to South Coast Ambulance Service. Staff told to access SCR for all 999 and many 111calls. Part of their response to their CQC report focus on </w:t>
            </w:r>
            <w:proofErr w:type="spellStart"/>
            <w:r>
              <w:rPr>
                <w:rFonts w:ascii="Arial" w:hAnsi="Arial" w:cs="Arial"/>
              </w:rPr>
              <w:t>EoL</w:t>
            </w:r>
            <w:proofErr w:type="spellEnd"/>
            <w:r>
              <w:rPr>
                <w:rFonts w:ascii="Arial" w:hAnsi="Arial" w:cs="Arial"/>
              </w:rPr>
              <w:t xml:space="preserve"> care provision.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2018</w:t>
            </w: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554F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 Project presented again via NHS England Harnessing Technology WeBeX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1pm, 14</w:t>
            </w:r>
            <w:r w:rsidRPr="007136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</w:t>
            </w: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680FC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Planning /</w:t>
            </w:r>
            <w:proofErr w:type="spellStart"/>
            <w:r>
              <w:rPr>
                <w:rFonts w:ascii="Arial" w:hAnsi="Arial" w:cs="Arial"/>
              </w:rPr>
              <w:t>AgeUK</w:t>
            </w:r>
            <w:proofErr w:type="spellEnd"/>
            <w:r>
              <w:rPr>
                <w:rFonts w:ascii="Arial" w:hAnsi="Arial" w:cs="Arial"/>
              </w:rPr>
              <w:t xml:space="preserve">/NHS Digital Workshop 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680FC1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136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71364E">
            <w:pPr>
              <w:spacing w:before="20" w:after="20"/>
              <w:ind w:left="426"/>
              <w:rPr>
                <w:rFonts w:ascii="Arial" w:eastAsiaTheme="majorEastAsia" w:hAnsi="Arial" w:cs="Arial"/>
                <w:b/>
                <w:bCs/>
                <w:outline/>
                <w:color w:val="95B3D7" w:themeColor="accent1" w:themeTint="99"/>
                <w:sz w:val="34"/>
                <w:szCs w:val="34"/>
                <w14:textOutline w14:w="9525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Release of the Future Planning: My Wishes Leaflet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680FC1">
            <w:pPr>
              <w:spacing w:before="20" w:after="20"/>
              <w:ind w:right="237"/>
              <w:jc w:val="right"/>
              <w:rPr>
                <w:rFonts w:ascii="Arial" w:eastAsiaTheme="majorEastAsia" w:hAnsi="Arial" w:cs="Arial"/>
                <w:b/>
                <w:bCs/>
                <w:outline/>
                <w:color w:val="95B3D7" w:themeColor="accent1" w:themeTint="99"/>
                <w:sz w:val="34"/>
                <w:szCs w:val="34"/>
                <w14:textOutline w14:w="9525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71364E">
            <w:pPr>
              <w:spacing w:before="20" w:after="2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common agreed </w:t>
            </w:r>
            <w:proofErr w:type="spellStart"/>
            <w:r>
              <w:rPr>
                <w:rFonts w:ascii="Arial" w:hAnsi="Arial" w:cs="Arial"/>
              </w:rPr>
              <w:t>uDNACPR</w:t>
            </w:r>
            <w:proofErr w:type="spellEnd"/>
            <w:r>
              <w:rPr>
                <w:rFonts w:ascii="Arial" w:hAnsi="Arial" w:cs="Arial"/>
              </w:rPr>
              <w:t xml:space="preserve"> coding set </w:t>
            </w:r>
            <w:r>
              <w:rPr>
                <w:rFonts w:ascii="Arial" w:hAnsi="Arial" w:cs="Arial"/>
              </w:rPr>
              <w:t>and set NHS Digital to develop APIs to allow better sharing of this data across systems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680FC1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</w:p>
        </w:tc>
      </w:tr>
      <w:tr w:rsidR="0071364E" w:rsidTr="0071364E">
        <w:trPr>
          <w:trHeight w:val="882"/>
        </w:trPr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71364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 Planning template version 3 released. Includes “Treatment Escalation Planning” enabling recording of information for Acute Trusts using </w:t>
            </w:r>
            <w:proofErr w:type="spellStart"/>
            <w:r>
              <w:rPr>
                <w:rFonts w:ascii="Arial" w:hAnsi="Arial" w:cs="Arial"/>
              </w:rPr>
              <w:t>ReSPECT</w:t>
            </w:r>
            <w:proofErr w:type="spellEnd"/>
            <w:r>
              <w:rPr>
                <w:rFonts w:ascii="Arial" w:hAnsi="Arial" w:cs="Arial"/>
              </w:rPr>
              <w:t xml:space="preserve"> paper form. Includes </w:t>
            </w:r>
            <w:proofErr w:type="spellStart"/>
            <w:r>
              <w:rPr>
                <w:rFonts w:ascii="Arial" w:hAnsi="Arial" w:cs="Arial"/>
              </w:rPr>
              <w:t>eDNACPR</w:t>
            </w:r>
            <w:proofErr w:type="spellEnd"/>
            <w:r>
              <w:rPr>
                <w:rFonts w:ascii="Arial" w:hAnsi="Arial" w:cs="Arial"/>
              </w:rPr>
              <w:t xml:space="preserve"> tab.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2018</w:t>
            </w:r>
          </w:p>
        </w:tc>
      </w:tr>
      <w:tr w:rsidR="0071364E" w:rsidTr="0071364E">
        <w:trPr>
          <w:trHeight w:val="556"/>
        </w:trPr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71364E">
            <w:pPr>
              <w:spacing w:before="20" w:after="2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SHFT start showing </w:t>
            </w:r>
            <w:proofErr w:type="spellStart"/>
            <w:r>
              <w:rPr>
                <w:rFonts w:ascii="Arial" w:hAnsi="Arial" w:cs="Arial"/>
              </w:rPr>
              <w:t>RiO</w:t>
            </w:r>
            <w:proofErr w:type="spellEnd"/>
            <w:r>
              <w:rPr>
                <w:rFonts w:ascii="Arial" w:hAnsi="Arial" w:cs="Arial"/>
              </w:rPr>
              <w:t xml:space="preserve"> information in CHIE that builds on Future Planning information coming from each GP practice.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</w:p>
        </w:tc>
      </w:tr>
      <w:tr w:rsidR="0071364E" w:rsidTr="0071364E">
        <w:trPr>
          <w:trHeight w:val="353"/>
        </w:trPr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71364E">
            <w:pPr>
              <w:spacing w:before="20" w:after="20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Solent rollout of Community Future Planning template begins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EA12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 Hampshire 10000 patients consenting for Additional Information upload to the SCR via use of the Future Planning template. Number likely to be much higher in East Berkshire.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2018</w:t>
            </w: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FF7FD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Data reports have GP anonymization removed as each CCG approves.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FF7FD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2018</w:t>
            </w: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Pr="0063649C" w:rsidRDefault="0071364E" w:rsidP="00EA12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 of CCGs utilising Future Planning and My Wishes. Sustainable funding model developing.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2018</w:t>
            </w:r>
          </w:p>
        </w:tc>
      </w:tr>
      <w:tr w:rsidR="0071364E" w:rsidTr="00EA12F2"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EA12F2">
            <w:pPr>
              <w:spacing w:before="20" w:after="20"/>
              <w:rPr>
                <w:rFonts w:ascii="Arial" w:eastAsiaTheme="majorEastAsia" w:hAnsi="Arial" w:cs="Arial"/>
                <w:b/>
                <w:bCs/>
                <w:outline/>
                <w:color w:val="95B3D7" w:themeColor="accent1" w:themeTint="99"/>
                <w:sz w:val="34"/>
                <w:szCs w:val="34"/>
                <w14:textOutline w14:w="9525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63649C">
              <w:rPr>
                <w:rFonts w:ascii="Arial" w:hAnsi="Arial" w:cs="Arial"/>
              </w:rPr>
              <w:t>EMISweb</w:t>
            </w:r>
            <w:proofErr w:type="spellEnd"/>
            <w:r w:rsidRPr="0063649C">
              <w:rPr>
                <w:rFonts w:ascii="Arial" w:hAnsi="Arial" w:cs="Arial"/>
              </w:rPr>
              <w:t xml:space="preserve"> and </w:t>
            </w:r>
            <w:proofErr w:type="spellStart"/>
            <w:r w:rsidRPr="0063649C">
              <w:rPr>
                <w:rFonts w:ascii="Arial" w:hAnsi="Arial" w:cs="Arial"/>
              </w:rPr>
              <w:t>SystmONE</w:t>
            </w:r>
            <w:proofErr w:type="spellEnd"/>
            <w:r w:rsidRPr="006364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practice reports allowing EoL &amp; Frailty registers to be produced without the need for MiQuest 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eastAsiaTheme="majorEastAsia" w:hAnsi="Arial" w:cs="Arial"/>
                <w:b/>
                <w:bCs/>
                <w:outline/>
                <w:color w:val="95B3D7" w:themeColor="accent1" w:themeTint="99"/>
                <w:sz w:val="34"/>
                <w:szCs w:val="34"/>
                <w14:textOutline w14:w="9525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</w:rPr>
              <w:t>Mid 2018</w:t>
            </w:r>
          </w:p>
        </w:tc>
      </w:tr>
      <w:tr w:rsidR="0071364E" w:rsidTr="00EA12F2">
        <w:trPr>
          <w:trHeight w:val="434"/>
        </w:trPr>
        <w:tc>
          <w:tcPr>
            <w:tcW w:w="7054" w:type="dxa"/>
            <w:tcMar>
              <w:top w:w="28" w:type="dxa"/>
              <w:bottom w:w="28" w:type="dxa"/>
            </w:tcMar>
            <w:vAlign w:val="center"/>
          </w:tcPr>
          <w:p w:rsidR="0071364E" w:rsidRPr="0063649C" w:rsidRDefault="0071364E" w:rsidP="00320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Future Planning Template over to SNOMED CT coding including an eDNACPR TAB </w:t>
            </w:r>
          </w:p>
        </w:tc>
        <w:tc>
          <w:tcPr>
            <w:tcW w:w="2188" w:type="dxa"/>
            <w:tcMar>
              <w:top w:w="28" w:type="dxa"/>
              <w:bottom w:w="28" w:type="dxa"/>
            </w:tcMar>
            <w:vAlign w:val="center"/>
          </w:tcPr>
          <w:p w:rsidR="0071364E" w:rsidRDefault="0071364E" w:rsidP="0020214D">
            <w:pPr>
              <w:spacing w:before="20" w:after="20"/>
              <w:ind w:right="2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2018</w:t>
            </w:r>
          </w:p>
        </w:tc>
      </w:tr>
    </w:tbl>
    <w:p w:rsidR="00F70CCA" w:rsidRPr="00F26C4D" w:rsidRDefault="00F70CCA" w:rsidP="00B73BF4">
      <w:pPr>
        <w:pStyle w:val="Heading2"/>
        <w:keepNext/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 w:rsidRPr="00F26C4D"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Team</w:t>
      </w:r>
    </w:p>
    <w:p w:rsidR="0071364E" w:rsidRDefault="0071364E" w:rsidP="00F70CC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Future Planning administrator post.</w:t>
      </w:r>
      <w:proofErr w:type="gramEnd"/>
      <w:r>
        <w:rPr>
          <w:rFonts w:ascii="Arial" w:hAnsi="Arial" w:cs="Arial"/>
        </w:rPr>
        <w:t xml:space="preserve"> </w:t>
      </w:r>
    </w:p>
    <w:p w:rsidR="00343B23" w:rsidRPr="0063649C" w:rsidRDefault="00F70CCA" w:rsidP="00F70CCA">
      <w:pPr>
        <w:rPr>
          <w:rFonts w:ascii="Arial" w:hAnsi="Arial" w:cs="Arial"/>
        </w:rPr>
      </w:pPr>
      <w:r w:rsidRPr="0063649C">
        <w:rPr>
          <w:rFonts w:ascii="Arial" w:hAnsi="Arial" w:cs="Arial"/>
        </w:rPr>
        <w:t>Members of the Wessex Data and electronic Palliative Care Co-ordination (ePaCCS) Subgroup (linking to SHFT End of Life Steering Group and the Wessex Palliative Care and EoL Network Group). Chair</w:t>
      </w:r>
      <w:r>
        <w:rPr>
          <w:rFonts w:ascii="Arial" w:hAnsi="Arial" w:cs="Arial"/>
        </w:rPr>
        <w:t>ed by</w:t>
      </w:r>
      <w:r w:rsidRPr="0063649C">
        <w:rPr>
          <w:rFonts w:ascii="Arial" w:hAnsi="Arial" w:cs="Arial"/>
        </w:rPr>
        <w:t xml:space="preserve"> Dr Steve Plenderleith</w:t>
      </w:r>
      <w:r>
        <w:rPr>
          <w:rFonts w:ascii="Arial" w:hAnsi="Arial" w:cs="Arial"/>
        </w:rPr>
        <w:t>, Consultant in Palliative Medicine</w:t>
      </w:r>
      <w:r w:rsidR="00554F9A">
        <w:rPr>
          <w:rFonts w:ascii="Arial" w:hAnsi="Arial" w:cs="Arial"/>
        </w:rPr>
        <w:t>, with clinical representation from all</w:t>
      </w:r>
      <w:r w:rsidRPr="0063649C">
        <w:rPr>
          <w:rFonts w:ascii="Arial" w:hAnsi="Arial" w:cs="Arial"/>
        </w:rPr>
        <w:t xml:space="preserve"> Hampshire Hospices, SHFT, Solent NHS Trust and the three acute trusts</w:t>
      </w:r>
      <w:r>
        <w:rPr>
          <w:rFonts w:ascii="Arial" w:hAnsi="Arial" w:cs="Arial"/>
        </w:rPr>
        <w:t>,</w:t>
      </w:r>
      <w:r w:rsidRPr="0063649C">
        <w:rPr>
          <w:rFonts w:ascii="Arial" w:hAnsi="Arial" w:cs="Arial"/>
        </w:rPr>
        <w:t xml:space="preserve"> working alongside </w:t>
      </w:r>
      <w:r w:rsidR="00554F9A">
        <w:rPr>
          <w:rFonts w:ascii="Arial" w:hAnsi="Arial" w:cs="Arial"/>
        </w:rPr>
        <w:t xml:space="preserve">the </w:t>
      </w:r>
      <w:r w:rsidRPr="0063649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linical </w:t>
      </w:r>
      <w:r w:rsidRPr="0063649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</w:t>
      </w:r>
      <w:r w:rsidRPr="0063649C">
        <w:rPr>
          <w:rFonts w:ascii="Arial" w:hAnsi="Arial" w:cs="Arial"/>
        </w:rPr>
        <w:t>U</w:t>
      </w:r>
      <w:r>
        <w:rPr>
          <w:rFonts w:ascii="Arial" w:hAnsi="Arial" w:cs="Arial"/>
        </w:rPr>
        <w:t>nit and CCG c</w:t>
      </w:r>
      <w:r w:rsidRPr="0063649C">
        <w:rPr>
          <w:rFonts w:ascii="Arial" w:hAnsi="Arial" w:cs="Arial"/>
        </w:rPr>
        <w:t>ommissioning staff.</w:t>
      </w:r>
      <w:r w:rsidR="00554F9A">
        <w:rPr>
          <w:rFonts w:ascii="Arial" w:hAnsi="Arial" w:cs="Arial"/>
        </w:rPr>
        <w:t xml:space="preserve"> Five</w:t>
      </w:r>
      <w:r>
        <w:rPr>
          <w:rFonts w:ascii="Arial" w:hAnsi="Arial" w:cs="Arial"/>
        </w:rPr>
        <w:t xml:space="preserve"> End of Life CCG GP leads also attend.</w:t>
      </w:r>
    </w:p>
    <w:p w:rsidR="000516C9" w:rsidRPr="000516C9" w:rsidRDefault="000516C9" w:rsidP="000516C9">
      <w:pPr>
        <w:rPr>
          <w:rFonts w:ascii="Arial" w:hAnsi="Arial" w:cs="Arial"/>
        </w:rPr>
      </w:pPr>
    </w:p>
    <w:p w:rsidR="001432CE" w:rsidRPr="000516C9" w:rsidRDefault="001A3F57" w:rsidP="000516C9">
      <w:pPr>
        <w:pStyle w:val="Heading2"/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</w:pPr>
      <w:r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For further i</w:t>
      </w:r>
      <w:r w:rsidR="009C6B75" w:rsidRPr="00F26C4D"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nformation</w:t>
      </w:r>
      <w:r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 xml:space="preserve"> </w:t>
      </w:r>
      <w:r w:rsidR="001432CE">
        <w:rPr>
          <w:rFonts w:ascii="Arial" w:hAnsi="Arial" w:cs="Arial"/>
          <w:color w:val="95B3D7" w:themeColor="accent1" w:themeTint="99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w:t>please go to:</w:t>
      </w:r>
    </w:p>
    <w:p w:rsidR="001432CE" w:rsidRPr="001432CE" w:rsidRDefault="001432CE" w:rsidP="001432CE">
      <w:pPr>
        <w:pStyle w:val="Title"/>
        <w:jc w:val="center"/>
        <w:rPr>
          <w:color w:val="262626" w:themeColor="text1" w:themeTint="D9"/>
          <w:sz w:val="56"/>
        </w:rPr>
      </w:pPr>
      <w:r>
        <w:rPr>
          <w:color w:val="262626" w:themeColor="text1" w:themeTint="D9"/>
          <w:sz w:val="56"/>
        </w:rPr>
        <w:t>www.future</w:t>
      </w:r>
      <w:r w:rsidRPr="001432CE">
        <w:rPr>
          <w:color w:val="262626" w:themeColor="text1" w:themeTint="D9"/>
          <w:sz w:val="56"/>
        </w:rPr>
        <w:t>planning.org.uk</w:t>
      </w:r>
    </w:p>
    <w:sectPr w:rsidR="001432CE" w:rsidRPr="001432CE" w:rsidSect="00233604">
      <w:headerReference w:type="default" r:id="rId13"/>
      <w:headerReference w:type="first" r:id="rId14"/>
      <w:pgSz w:w="11906" w:h="16838"/>
      <w:pgMar w:top="961" w:right="1133" w:bottom="993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D7" w:rsidRDefault="00E551D7" w:rsidP="00DE3254">
      <w:pPr>
        <w:spacing w:after="0" w:line="240" w:lineRule="auto"/>
      </w:pPr>
      <w:r>
        <w:separator/>
      </w:r>
    </w:p>
  </w:endnote>
  <w:endnote w:type="continuationSeparator" w:id="0">
    <w:p w:rsidR="00E551D7" w:rsidRDefault="00E551D7" w:rsidP="00DE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D7" w:rsidRDefault="00E551D7" w:rsidP="00DE3254">
      <w:pPr>
        <w:spacing w:after="0" w:line="240" w:lineRule="auto"/>
      </w:pPr>
      <w:r>
        <w:separator/>
      </w:r>
    </w:p>
  </w:footnote>
  <w:footnote w:type="continuationSeparator" w:id="0">
    <w:p w:rsidR="00E551D7" w:rsidRDefault="00E551D7" w:rsidP="00DE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54" w:rsidRDefault="00B73BF4" w:rsidP="00B73BF4">
    <w:pPr>
      <w:pStyle w:val="Header"/>
      <w:tabs>
        <w:tab w:val="left" w:pos="3767"/>
      </w:tabs>
    </w:pPr>
    <w:r>
      <w:rPr>
        <w:noProof/>
        <w:lang w:eastAsia="en-GB"/>
      </w:rPr>
      <w:drawing>
        <wp:inline distT="0" distB="0" distL="0" distR="0" wp14:anchorId="3826DA0E" wp14:editId="45882E37">
          <wp:extent cx="680484" cy="36623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 stagg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81" cy="37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1461D9BC" wp14:editId="08EACE67">
          <wp:extent cx="971685" cy="3902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6727" cy="39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BF4" w:rsidRDefault="00B73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F4" w:rsidRDefault="00233604">
    <w:pPr>
      <w:pStyle w:val="Header"/>
    </w:pPr>
    <w:r>
      <w:rPr>
        <w:noProof/>
        <w:lang w:eastAsia="en-GB"/>
      </w:rPr>
      <w:drawing>
        <wp:inline distT="0" distB="0" distL="0" distR="0" wp14:anchorId="32FCF560" wp14:editId="2D5E20F1">
          <wp:extent cx="1185352" cy="63795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 stagg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77" cy="63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F2298D1" wp14:editId="3D4D468B">
          <wp:extent cx="1407619" cy="565356"/>
          <wp:effectExtent l="0" t="0" r="254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4922" cy="56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604" w:rsidRDefault="00233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052"/>
    <w:multiLevelType w:val="hybridMultilevel"/>
    <w:tmpl w:val="7DDA75F8"/>
    <w:lvl w:ilvl="0" w:tplc="73D8AE7C">
      <w:start w:val="6"/>
      <w:numFmt w:val="bullet"/>
      <w:lvlText w:val="-"/>
      <w:lvlJc w:val="left"/>
      <w:pPr>
        <w:ind w:left="249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66923E5C"/>
    <w:multiLevelType w:val="hybridMultilevel"/>
    <w:tmpl w:val="8258D02E"/>
    <w:lvl w:ilvl="0" w:tplc="7F045F82">
      <w:start w:val="6"/>
      <w:numFmt w:val="bullet"/>
      <w:lvlText w:val="-"/>
      <w:lvlJc w:val="left"/>
      <w:pPr>
        <w:ind w:left="249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91B0392"/>
    <w:multiLevelType w:val="hybridMultilevel"/>
    <w:tmpl w:val="603686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A2310"/>
    <w:multiLevelType w:val="hybridMultilevel"/>
    <w:tmpl w:val="BA0A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8C"/>
    <w:rsid w:val="00004375"/>
    <w:rsid w:val="000516C9"/>
    <w:rsid w:val="00053E3D"/>
    <w:rsid w:val="000A5A61"/>
    <w:rsid w:val="001432CE"/>
    <w:rsid w:val="00196D28"/>
    <w:rsid w:val="001A3BDE"/>
    <w:rsid w:val="001A3F57"/>
    <w:rsid w:val="001D7D83"/>
    <w:rsid w:val="001F7079"/>
    <w:rsid w:val="0020214D"/>
    <w:rsid w:val="00233604"/>
    <w:rsid w:val="002973C5"/>
    <w:rsid w:val="002A1531"/>
    <w:rsid w:val="002C2AA0"/>
    <w:rsid w:val="00320B4C"/>
    <w:rsid w:val="00343B23"/>
    <w:rsid w:val="003861CB"/>
    <w:rsid w:val="00406928"/>
    <w:rsid w:val="0040727E"/>
    <w:rsid w:val="00553983"/>
    <w:rsid w:val="00554F9A"/>
    <w:rsid w:val="005E25FA"/>
    <w:rsid w:val="0063649C"/>
    <w:rsid w:val="006B07B4"/>
    <w:rsid w:val="0071364E"/>
    <w:rsid w:val="0073666B"/>
    <w:rsid w:val="007779ED"/>
    <w:rsid w:val="00784A6F"/>
    <w:rsid w:val="00787A27"/>
    <w:rsid w:val="0081030E"/>
    <w:rsid w:val="00873123"/>
    <w:rsid w:val="008A208C"/>
    <w:rsid w:val="0098730D"/>
    <w:rsid w:val="009C6B75"/>
    <w:rsid w:val="009E126B"/>
    <w:rsid w:val="00A171BA"/>
    <w:rsid w:val="00A53F49"/>
    <w:rsid w:val="00B04FB5"/>
    <w:rsid w:val="00B161A7"/>
    <w:rsid w:val="00B37B49"/>
    <w:rsid w:val="00B73BF4"/>
    <w:rsid w:val="00C1737B"/>
    <w:rsid w:val="00C9637B"/>
    <w:rsid w:val="00CC16DB"/>
    <w:rsid w:val="00CF4179"/>
    <w:rsid w:val="00D00218"/>
    <w:rsid w:val="00D835C5"/>
    <w:rsid w:val="00DE3254"/>
    <w:rsid w:val="00E551D7"/>
    <w:rsid w:val="00E76069"/>
    <w:rsid w:val="00E819BF"/>
    <w:rsid w:val="00E860D5"/>
    <w:rsid w:val="00E9202D"/>
    <w:rsid w:val="00E9743C"/>
    <w:rsid w:val="00EA12F2"/>
    <w:rsid w:val="00EB0892"/>
    <w:rsid w:val="00ED7245"/>
    <w:rsid w:val="00EF3879"/>
    <w:rsid w:val="00F26C4D"/>
    <w:rsid w:val="00F53EA8"/>
    <w:rsid w:val="00F70CCA"/>
    <w:rsid w:val="00F76985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4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C4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C4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C4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C4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C4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C4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C4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C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C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C4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6C4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34"/>
    <w:qFormat/>
    <w:rsid w:val="00F26C4D"/>
    <w:pPr>
      <w:numPr>
        <w:numId w:val="2"/>
      </w:numPr>
      <w:contextualSpacing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6C4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26C4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DE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54"/>
  </w:style>
  <w:style w:type="paragraph" w:styleId="Footer">
    <w:name w:val="footer"/>
    <w:basedOn w:val="Normal"/>
    <w:link w:val="FooterChar"/>
    <w:uiPriority w:val="99"/>
    <w:unhideWhenUsed/>
    <w:rsid w:val="00DE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54"/>
  </w:style>
  <w:style w:type="character" w:customStyle="1" w:styleId="Heading3Char">
    <w:name w:val="Heading 3 Char"/>
    <w:basedOn w:val="DefaultParagraphFont"/>
    <w:link w:val="Heading3"/>
    <w:uiPriority w:val="9"/>
    <w:semiHidden/>
    <w:rsid w:val="00F26C4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C4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C4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C4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C4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C4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C4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C4D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C4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C4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26C4D"/>
    <w:rPr>
      <w:b/>
      <w:bCs/>
      <w:spacing w:val="0"/>
    </w:rPr>
  </w:style>
  <w:style w:type="character" w:styleId="Emphasis">
    <w:name w:val="Emphasis"/>
    <w:uiPriority w:val="20"/>
    <w:qFormat/>
    <w:rsid w:val="00F26C4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F26C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6C4D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26C4D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C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C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26C4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F26C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26C4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26C4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26C4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C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9"/>
    <w:rPr>
      <w:rFonts w:ascii="Tahoma" w:hAnsi="Tahoma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19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4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C4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C4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C4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C4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C4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C4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C4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C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C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C4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6C4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34"/>
    <w:qFormat/>
    <w:rsid w:val="00F26C4D"/>
    <w:pPr>
      <w:numPr>
        <w:numId w:val="2"/>
      </w:numPr>
      <w:contextualSpacing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6C4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26C4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DE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54"/>
  </w:style>
  <w:style w:type="paragraph" w:styleId="Footer">
    <w:name w:val="footer"/>
    <w:basedOn w:val="Normal"/>
    <w:link w:val="FooterChar"/>
    <w:uiPriority w:val="99"/>
    <w:unhideWhenUsed/>
    <w:rsid w:val="00DE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54"/>
  </w:style>
  <w:style w:type="character" w:customStyle="1" w:styleId="Heading3Char">
    <w:name w:val="Heading 3 Char"/>
    <w:basedOn w:val="DefaultParagraphFont"/>
    <w:link w:val="Heading3"/>
    <w:uiPriority w:val="9"/>
    <w:semiHidden/>
    <w:rsid w:val="00F26C4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C4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C4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C4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C4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C4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C4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C4D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C4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C4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26C4D"/>
    <w:rPr>
      <w:b/>
      <w:bCs/>
      <w:spacing w:val="0"/>
    </w:rPr>
  </w:style>
  <w:style w:type="character" w:styleId="Emphasis">
    <w:name w:val="Emphasis"/>
    <w:uiPriority w:val="20"/>
    <w:qFormat/>
    <w:rsid w:val="00F26C4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F26C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6C4D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26C4D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C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C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26C4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F26C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26C4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26C4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26C4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C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9"/>
    <w:rPr>
      <w:rFonts w:ascii="Tahoma" w:hAnsi="Tahoma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19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sp58</dc:creator>
  <cp:lastModifiedBy>Plenderleith, Steve</cp:lastModifiedBy>
  <cp:revision>1</cp:revision>
  <dcterms:created xsi:type="dcterms:W3CDTF">2018-01-25T11:29:00Z</dcterms:created>
  <dcterms:modified xsi:type="dcterms:W3CDTF">2018-01-25T11:29:00Z</dcterms:modified>
</cp:coreProperties>
</file>