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4E" w:rsidRPr="0047044E" w:rsidRDefault="0047044E" w:rsidP="0047044E">
      <w:pPr>
        <w:pStyle w:val="Heading1"/>
        <w:spacing w:before="120"/>
      </w:pPr>
      <w:r w:rsidRPr="0047044E">
        <w:rPr>
          <w:sz w:val="32"/>
        </w:rPr>
        <w:t xml:space="preserve">Evidence Base </w:t>
      </w:r>
      <w:r w:rsidRPr="0047044E">
        <w:rPr>
          <w:sz w:val="24"/>
        </w:rPr>
        <w:t xml:space="preserve">for some of the more unusual suggestions in the </w:t>
      </w:r>
      <w:r>
        <w:rPr>
          <w:sz w:val="24"/>
        </w:rPr>
        <w:t>“</w:t>
      </w:r>
      <w:r w:rsidRPr="0047044E">
        <w:rPr>
          <w:sz w:val="24"/>
        </w:rPr>
        <w:t>COVID-management of EoL symptoms chart</w:t>
      </w:r>
      <w:r>
        <w:rPr>
          <w:sz w:val="24"/>
        </w:rPr>
        <w:t>”</w:t>
      </w:r>
      <w:r w:rsidRPr="0047044E">
        <w:rPr>
          <w:sz w:val="24"/>
        </w:rPr>
        <w:t>.</w:t>
      </w:r>
      <w:r w:rsidR="0026239B">
        <w:rPr>
          <w:sz w:val="24"/>
        </w:rPr>
        <w:t xml:space="preserve"> </w:t>
      </w:r>
      <w:r w:rsidR="0026239B" w:rsidRPr="0026239B">
        <w:rPr>
          <w:color w:val="auto"/>
          <w:sz w:val="24"/>
        </w:rPr>
        <w:t>March 2020</w:t>
      </w:r>
    </w:p>
    <w:p w:rsidR="00E659CC" w:rsidRDefault="0047044E" w:rsidP="0047044E">
      <w:pPr>
        <w:pStyle w:val="Heading2"/>
      </w:pPr>
      <w:r>
        <w:t>Morphine via the rectal route.</w:t>
      </w:r>
    </w:p>
    <w:p w:rsidR="0047044E" w:rsidRPr="00FB12D1" w:rsidRDefault="004A5573" w:rsidP="00BA1164">
      <w:pPr>
        <w:spacing w:after="120"/>
      </w:pPr>
      <w:r>
        <w:t>T</w:t>
      </w:r>
      <w:r w:rsidRPr="00FB12D1">
        <w:t xml:space="preserve">here appears to be some reasonable evidence that morphine injection, modified and immediate release tablets and suppositories are all absorbed rectally with almost equal (or better) efficacy to morphine pain relief given by the oral route. With regards breathlessness there is no evidence for use of the rectal route, though there seems no reason to think that morphine absorbed into the blood stream will give any regard to the route by which it arrived there. Hence, its actions once </w:t>
      </w:r>
      <w:r w:rsidR="00BA1164" w:rsidRPr="00FB12D1">
        <w:t xml:space="preserve">in the system should provide the same </w:t>
      </w:r>
      <w:r w:rsidR="0026239B" w:rsidRPr="00FB12D1">
        <w:t>relief, which</w:t>
      </w:r>
      <w:r w:rsidR="00BA1164" w:rsidRPr="00FB12D1">
        <w:t xml:space="preserve"> many studies have shown, of pain, breathless and to some extent anxiety. Clearly, this ignores many arguments that could be made about different “pharmacokinetics and pharmacodynamics” that may impact upon efficacy.</w:t>
      </w:r>
    </w:p>
    <w:p w:rsidR="00BA1164" w:rsidRPr="00FB12D1" w:rsidRDefault="00BA1164" w:rsidP="00BA1164">
      <w:r w:rsidRPr="00FB12D1">
        <w:t xml:space="preserve">It seems reasonable to assume however that some morphine in the system at whatever level, via whatever route is better than none in the face of End of Life symptoms. </w:t>
      </w:r>
    </w:p>
    <w:p w:rsidR="00BA1164" w:rsidRPr="00FB12D1" w:rsidRDefault="00BA1164" w:rsidP="00BA1164">
      <w:r w:rsidRPr="00FB12D1">
        <w:t>The best review paper appears to be that by Dr Matt Kestenbaum, who has kindly given his permission for any use of his paper.</w:t>
      </w:r>
    </w:p>
    <w:p w:rsidR="00BA1164" w:rsidRPr="00FB12D1" w:rsidRDefault="00BA1164" w:rsidP="0047044E">
      <w:pPr>
        <w:rPr>
          <w:sz w:val="20"/>
        </w:rPr>
      </w:pPr>
      <w:r w:rsidRPr="00BA1164">
        <w:rPr>
          <w:rFonts w:cs="Arial"/>
          <w:color w:val="2A2A2A"/>
          <w:sz w:val="20"/>
          <w:shd w:val="clear" w:color="auto" w:fill="FFFFFF"/>
        </w:rPr>
        <w:t>Matthew G. Kestenbaum, MD, et al., Alternative Routes to Oral Opioid Administration in Palliative Care: A Review and Clinical Summary, </w:t>
      </w:r>
      <w:r w:rsidRPr="00FB12D1">
        <w:rPr>
          <w:rFonts w:cs="Arial"/>
          <w:i/>
          <w:iCs/>
          <w:color w:val="2A2A2A"/>
          <w:sz w:val="20"/>
          <w:bdr w:val="none" w:sz="0" w:space="0" w:color="auto" w:frame="1"/>
          <w:shd w:val="clear" w:color="auto" w:fill="FFFFFF"/>
        </w:rPr>
        <w:t>Pain Medicine</w:t>
      </w:r>
      <w:r w:rsidRPr="00BA1164">
        <w:rPr>
          <w:rFonts w:cs="Arial"/>
          <w:color w:val="2A2A2A"/>
          <w:sz w:val="20"/>
          <w:shd w:val="clear" w:color="auto" w:fill="FFFFFF"/>
        </w:rPr>
        <w:t>, Volume 15, Issue 7, July 2014, Pages 1129–1153, </w:t>
      </w:r>
      <w:hyperlink r:id="rId7" w:history="1">
        <w:r w:rsidRPr="00FB12D1">
          <w:rPr>
            <w:rFonts w:cs="Arial"/>
            <w:color w:val="006FB7"/>
            <w:sz w:val="20"/>
            <w:u w:val="single"/>
            <w:bdr w:val="none" w:sz="0" w:space="0" w:color="auto" w:frame="1"/>
            <w:shd w:val="clear" w:color="auto" w:fill="FFFFFF"/>
          </w:rPr>
          <w:t>https://</w:t>
        </w:r>
        <w:r w:rsidRPr="00FB12D1">
          <w:rPr>
            <w:rFonts w:cs="Arial"/>
            <w:color w:val="006FB7"/>
            <w:sz w:val="20"/>
            <w:u w:val="single"/>
            <w:bdr w:val="none" w:sz="0" w:space="0" w:color="auto" w:frame="1"/>
            <w:shd w:val="clear" w:color="auto" w:fill="FFFFFF"/>
          </w:rPr>
          <w:t>d</w:t>
        </w:r>
        <w:r w:rsidRPr="00FB12D1">
          <w:rPr>
            <w:rFonts w:cs="Arial"/>
            <w:color w:val="006FB7"/>
            <w:sz w:val="20"/>
            <w:u w:val="single"/>
            <w:bdr w:val="none" w:sz="0" w:space="0" w:color="auto" w:frame="1"/>
            <w:shd w:val="clear" w:color="auto" w:fill="FFFFFF"/>
          </w:rPr>
          <w:t>oi.org/10.1111/pme.12464</w:t>
        </w:r>
      </w:hyperlink>
    </w:p>
    <w:tbl>
      <w:tblPr>
        <w:tblStyle w:val="TableGrid"/>
        <w:tblW w:w="0" w:type="auto"/>
        <w:tblLook w:val="04A0" w:firstRow="1" w:lastRow="0" w:firstColumn="1" w:lastColumn="0" w:noHBand="0" w:noVBand="1"/>
      </w:tblPr>
      <w:tblGrid>
        <w:gridCol w:w="1618"/>
        <w:gridCol w:w="2666"/>
        <w:gridCol w:w="983"/>
        <w:gridCol w:w="8907"/>
      </w:tblGrid>
      <w:tr w:rsidR="00BA1164" w:rsidRPr="00BA1164" w:rsidTr="00BA1164">
        <w:tc>
          <w:tcPr>
            <w:tcW w:w="1618" w:type="dxa"/>
          </w:tcPr>
          <w:p w:rsidR="00BA1164" w:rsidRPr="00BA1164" w:rsidRDefault="00BA1164" w:rsidP="00BA1164">
            <w:pPr>
              <w:autoSpaceDE w:val="0"/>
              <w:autoSpaceDN w:val="0"/>
              <w:adjustRightInd w:val="0"/>
              <w:rPr>
                <w:rFonts w:cs="Helvetica"/>
                <w:sz w:val="20"/>
                <w:szCs w:val="20"/>
              </w:rPr>
            </w:pPr>
            <w:r w:rsidRPr="00BA1164">
              <w:rPr>
                <w:rFonts w:cs="Helvetica"/>
                <w:sz w:val="20"/>
                <w:szCs w:val="20"/>
              </w:rPr>
              <w:t xml:space="preserve">Leow, 1992 </w:t>
            </w:r>
          </w:p>
        </w:tc>
        <w:tc>
          <w:tcPr>
            <w:tcW w:w="2666" w:type="dxa"/>
          </w:tcPr>
          <w:p w:rsidR="00BA1164" w:rsidRPr="00BA1164" w:rsidRDefault="00BA1164" w:rsidP="00BA1164">
            <w:pPr>
              <w:rPr>
                <w:sz w:val="20"/>
              </w:rPr>
            </w:pPr>
            <w:r w:rsidRPr="00BA1164">
              <w:rPr>
                <w:rFonts w:cs="Helvetica"/>
                <w:sz w:val="20"/>
                <w:szCs w:val="14"/>
              </w:rPr>
              <w:t>Randomized 48 patients undergoing minor surgery</w:t>
            </w:r>
          </w:p>
        </w:tc>
        <w:tc>
          <w:tcPr>
            <w:tcW w:w="983" w:type="dxa"/>
          </w:tcPr>
          <w:p w:rsidR="00BA1164" w:rsidRPr="00BA1164" w:rsidRDefault="00BA1164" w:rsidP="00BA1164">
            <w:pPr>
              <w:rPr>
                <w:sz w:val="20"/>
                <w:szCs w:val="20"/>
              </w:rPr>
            </w:pPr>
            <w:r w:rsidRPr="00BA1164">
              <w:rPr>
                <w:rFonts w:cs="Helvetica"/>
                <w:sz w:val="20"/>
                <w:szCs w:val="20"/>
              </w:rPr>
              <w:t xml:space="preserve">IV, oral, rectal </w:t>
            </w:r>
          </w:p>
        </w:tc>
        <w:tc>
          <w:tcPr>
            <w:tcW w:w="8907" w:type="dxa"/>
          </w:tcPr>
          <w:p w:rsidR="00BA1164" w:rsidRPr="00BA1164" w:rsidRDefault="00BA1164" w:rsidP="00BA1164">
            <w:pPr>
              <w:autoSpaceDE w:val="0"/>
              <w:autoSpaceDN w:val="0"/>
              <w:adjustRightInd w:val="0"/>
              <w:rPr>
                <w:rFonts w:cs="Helvetica"/>
                <w:sz w:val="18"/>
                <w:szCs w:val="18"/>
              </w:rPr>
            </w:pPr>
            <w:r w:rsidRPr="00BA1164">
              <w:rPr>
                <w:rFonts w:cs="Helvetica"/>
                <w:sz w:val="18"/>
                <w:szCs w:val="18"/>
              </w:rPr>
              <w:t>Mean elimination half-lives were comparable across all three routes. Rectal administrated demonstrated</w:t>
            </w:r>
          </w:p>
          <w:p w:rsidR="00BA1164" w:rsidRPr="00BA1164" w:rsidRDefault="00BA1164" w:rsidP="00BA1164">
            <w:pPr>
              <w:autoSpaceDE w:val="0"/>
              <w:autoSpaceDN w:val="0"/>
              <w:adjustRightInd w:val="0"/>
              <w:rPr>
                <w:rFonts w:cs="Helvetica"/>
                <w:sz w:val="18"/>
                <w:szCs w:val="18"/>
              </w:rPr>
            </w:pPr>
            <w:r w:rsidRPr="00BA1164">
              <w:rPr>
                <w:rFonts w:cs="Helvetica"/>
                <w:sz w:val="18"/>
                <w:szCs w:val="18"/>
              </w:rPr>
              <w:t>a longer duration of pharmacological effects after surgery (e.g., analgesia, drowsiness, dizziness)</w:t>
            </w:r>
          </w:p>
          <w:p w:rsidR="00BA1164" w:rsidRPr="00BA1164" w:rsidRDefault="00BA1164" w:rsidP="00BA1164">
            <w:pPr>
              <w:autoSpaceDE w:val="0"/>
              <w:autoSpaceDN w:val="0"/>
              <w:adjustRightInd w:val="0"/>
              <w:rPr>
                <w:rFonts w:cs="Helvetica"/>
                <w:sz w:val="18"/>
                <w:szCs w:val="18"/>
              </w:rPr>
            </w:pPr>
            <w:proofErr w:type="gramStart"/>
            <w:r w:rsidRPr="00BA1164">
              <w:rPr>
                <w:rFonts w:cs="Helvetica"/>
                <w:sz w:val="18"/>
                <w:szCs w:val="18"/>
              </w:rPr>
              <w:t>than</w:t>
            </w:r>
            <w:proofErr w:type="gramEnd"/>
            <w:r w:rsidRPr="00BA1164">
              <w:rPr>
                <w:rFonts w:cs="Helvetica"/>
                <w:sz w:val="18"/>
                <w:szCs w:val="18"/>
              </w:rPr>
              <w:t xml:space="preserve"> did oral and intravenous administrations. Authors support the use of rectal administration in</w:t>
            </w:r>
          </w:p>
          <w:p w:rsidR="00BA1164" w:rsidRPr="00BA1164" w:rsidRDefault="00BA1164" w:rsidP="00BA1164">
            <w:pPr>
              <w:autoSpaceDE w:val="0"/>
              <w:autoSpaceDN w:val="0"/>
              <w:adjustRightInd w:val="0"/>
              <w:rPr>
                <w:rFonts w:cs="Helvetica"/>
                <w:sz w:val="18"/>
                <w:szCs w:val="18"/>
              </w:rPr>
            </w:pPr>
            <w:r w:rsidRPr="00BA1164">
              <w:rPr>
                <w:rFonts w:cs="Helvetica"/>
                <w:sz w:val="18"/>
                <w:szCs w:val="18"/>
              </w:rPr>
              <w:t>patients who cannot tolerate oral administration but warn that patient acceptance may be problematic</w:t>
            </w:r>
          </w:p>
        </w:tc>
      </w:tr>
      <w:tr w:rsidR="00BA1164" w:rsidRPr="00BA1164" w:rsidTr="00BA1164">
        <w:tc>
          <w:tcPr>
            <w:tcW w:w="1618" w:type="dxa"/>
          </w:tcPr>
          <w:p w:rsidR="00BA1164" w:rsidRPr="00BA1164" w:rsidRDefault="00BA1164" w:rsidP="00BA1164">
            <w:pPr>
              <w:autoSpaceDE w:val="0"/>
              <w:autoSpaceDN w:val="0"/>
              <w:adjustRightInd w:val="0"/>
              <w:rPr>
                <w:rFonts w:cs="Helvetica"/>
                <w:sz w:val="20"/>
                <w:szCs w:val="20"/>
              </w:rPr>
            </w:pPr>
            <w:r w:rsidRPr="00BA1164">
              <w:rPr>
                <w:sz w:val="20"/>
                <w:szCs w:val="20"/>
              </w:rPr>
              <w:t>Leow, 1995</w:t>
            </w:r>
          </w:p>
        </w:tc>
        <w:tc>
          <w:tcPr>
            <w:tcW w:w="2666" w:type="dxa"/>
          </w:tcPr>
          <w:p w:rsidR="00BA1164" w:rsidRPr="00BA1164" w:rsidRDefault="00BA1164" w:rsidP="00BA1164">
            <w:pPr>
              <w:rPr>
                <w:sz w:val="20"/>
                <w:szCs w:val="18"/>
              </w:rPr>
            </w:pPr>
            <w:r w:rsidRPr="00BA1164">
              <w:rPr>
                <w:sz w:val="20"/>
                <w:szCs w:val="18"/>
              </w:rPr>
              <w:t>Randomized 12 inpatients with cancer pain</w:t>
            </w:r>
          </w:p>
        </w:tc>
        <w:tc>
          <w:tcPr>
            <w:tcW w:w="983" w:type="dxa"/>
          </w:tcPr>
          <w:p w:rsidR="00BA1164" w:rsidRPr="00BA1164" w:rsidRDefault="00BA1164" w:rsidP="00BA1164">
            <w:pPr>
              <w:rPr>
                <w:sz w:val="20"/>
                <w:szCs w:val="20"/>
              </w:rPr>
            </w:pPr>
            <w:r w:rsidRPr="00BA1164">
              <w:rPr>
                <w:sz w:val="20"/>
                <w:szCs w:val="20"/>
              </w:rPr>
              <w:t>IV, rectal</w:t>
            </w:r>
          </w:p>
        </w:tc>
        <w:tc>
          <w:tcPr>
            <w:tcW w:w="8907" w:type="dxa"/>
          </w:tcPr>
          <w:p w:rsidR="00BA1164" w:rsidRPr="00BA1164" w:rsidRDefault="00BA1164" w:rsidP="00BA1164">
            <w:pPr>
              <w:rPr>
                <w:sz w:val="18"/>
                <w:szCs w:val="18"/>
              </w:rPr>
            </w:pPr>
            <w:r w:rsidRPr="00BA1164">
              <w:rPr>
                <w:sz w:val="18"/>
                <w:szCs w:val="18"/>
              </w:rPr>
              <w:t>Oxycodone Intravenous administration was associated with faster onset of analgesia but shorter duration of pain relief as compared with rectal administration. No difference in side effects reported or observed. Inter-individual variation in rectal bioavailability may reflect differences in rectal absorption rates.</w:t>
            </w:r>
          </w:p>
        </w:tc>
      </w:tr>
      <w:tr w:rsidR="00BA1164" w:rsidRPr="00BA1164" w:rsidTr="00BA1164">
        <w:tc>
          <w:tcPr>
            <w:tcW w:w="1618" w:type="dxa"/>
          </w:tcPr>
          <w:p w:rsidR="00BA1164" w:rsidRPr="00BA1164" w:rsidRDefault="00BA1164" w:rsidP="00BA1164">
            <w:pPr>
              <w:autoSpaceDE w:val="0"/>
              <w:autoSpaceDN w:val="0"/>
              <w:adjustRightInd w:val="0"/>
              <w:rPr>
                <w:rFonts w:cs="Helvetica"/>
                <w:sz w:val="20"/>
                <w:szCs w:val="20"/>
              </w:rPr>
            </w:pPr>
            <w:r w:rsidRPr="00BA1164">
              <w:rPr>
                <w:sz w:val="20"/>
                <w:szCs w:val="20"/>
              </w:rPr>
              <w:t>Bruera, 1995</w:t>
            </w:r>
          </w:p>
        </w:tc>
        <w:tc>
          <w:tcPr>
            <w:tcW w:w="2666" w:type="dxa"/>
          </w:tcPr>
          <w:p w:rsidR="00BA1164" w:rsidRPr="00BA1164" w:rsidRDefault="00BA1164" w:rsidP="00BA1164">
            <w:pPr>
              <w:rPr>
                <w:sz w:val="20"/>
                <w:szCs w:val="18"/>
              </w:rPr>
            </w:pPr>
            <w:r w:rsidRPr="00BA1164">
              <w:rPr>
                <w:sz w:val="20"/>
                <w:szCs w:val="18"/>
              </w:rPr>
              <w:t>Prospective, open</w:t>
            </w:r>
          </w:p>
          <w:p w:rsidR="00BA1164" w:rsidRPr="00BA1164" w:rsidRDefault="00BA1164" w:rsidP="00BA1164">
            <w:pPr>
              <w:rPr>
                <w:sz w:val="20"/>
                <w:szCs w:val="18"/>
              </w:rPr>
            </w:pPr>
            <w:r w:rsidRPr="00BA1164">
              <w:rPr>
                <w:sz w:val="20"/>
                <w:szCs w:val="18"/>
              </w:rPr>
              <w:t>double-blind, crossover 37 patients with cancer</w:t>
            </w:r>
          </w:p>
        </w:tc>
        <w:tc>
          <w:tcPr>
            <w:tcW w:w="983" w:type="dxa"/>
          </w:tcPr>
          <w:p w:rsidR="00BA1164" w:rsidRPr="00BA1164" w:rsidRDefault="00BA1164" w:rsidP="00BA1164">
            <w:pPr>
              <w:rPr>
                <w:sz w:val="20"/>
                <w:szCs w:val="20"/>
              </w:rPr>
            </w:pPr>
            <w:r w:rsidRPr="00BA1164">
              <w:rPr>
                <w:sz w:val="20"/>
                <w:szCs w:val="20"/>
              </w:rPr>
              <w:t>Rectal, oral</w:t>
            </w:r>
          </w:p>
        </w:tc>
        <w:tc>
          <w:tcPr>
            <w:tcW w:w="8907" w:type="dxa"/>
          </w:tcPr>
          <w:p w:rsidR="00BA1164" w:rsidRPr="00BA1164" w:rsidRDefault="00BA1164" w:rsidP="00BA1164">
            <w:pPr>
              <w:rPr>
                <w:sz w:val="18"/>
                <w:szCs w:val="18"/>
              </w:rPr>
            </w:pPr>
            <w:r w:rsidRPr="00BA1164">
              <w:rPr>
                <w:sz w:val="18"/>
                <w:szCs w:val="18"/>
              </w:rPr>
              <w:t>Morphine In comparing the efficacy and safety of controlled-release morphine (every 12 hours) with SC morphine (every 4 hours for 4 days) using a 2.5:1 analgesic equivalence ratio, the authors report a small but significant difference in overall ordinal pain-intensity scores favo</w:t>
            </w:r>
            <w:r w:rsidR="0026239B">
              <w:rPr>
                <w:sz w:val="18"/>
                <w:szCs w:val="18"/>
              </w:rPr>
              <w:t>u</w:t>
            </w:r>
            <w:r w:rsidRPr="00BA1164">
              <w:rPr>
                <w:sz w:val="18"/>
                <w:szCs w:val="18"/>
              </w:rPr>
              <w:t>ring the rectal morphine; however, there were no significant differences between the treatments in overall VAS scores for pain intensity, sedation, nausea, or use of rescue analgesia.</w:t>
            </w:r>
          </w:p>
        </w:tc>
      </w:tr>
      <w:tr w:rsidR="00BA1164" w:rsidRPr="00BA1164" w:rsidTr="00BA1164">
        <w:tc>
          <w:tcPr>
            <w:tcW w:w="1618" w:type="dxa"/>
            <w:shd w:val="clear" w:color="auto" w:fill="92D050"/>
          </w:tcPr>
          <w:p w:rsidR="00BA1164" w:rsidRPr="00BA1164" w:rsidRDefault="00BA1164" w:rsidP="00BA1164">
            <w:pPr>
              <w:rPr>
                <w:sz w:val="20"/>
                <w:szCs w:val="20"/>
              </w:rPr>
            </w:pPr>
            <w:r w:rsidRPr="00BA1164">
              <w:rPr>
                <w:sz w:val="20"/>
                <w:szCs w:val="20"/>
              </w:rPr>
              <w:t>[119] Maloney,</w:t>
            </w:r>
          </w:p>
          <w:p w:rsidR="00BA1164" w:rsidRPr="00BA1164" w:rsidRDefault="00BA1164" w:rsidP="00BA1164">
            <w:pPr>
              <w:rPr>
                <w:sz w:val="20"/>
                <w:szCs w:val="20"/>
              </w:rPr>
            </w:pPr>
            <w:r w:rsidRPr="00BA1164">
              <w:rPr>
                <w:sz w:val="20"/>
                <w:szCs w:val="20"/>
              </w:rPr>
              <w:t>1989</w:t>
            </w:r>
          </w:p>
          <w:p w:rsidR="00BA1164" w:rsidRPr="00BA1164" w:rsidRDefault="00BA1164" w:rsidP="00BA1164">
            <w:pPr>
              <w:autoSpaceDE w:val="0"/>
              <w:autoSpaceDN w:val="0"/>
              <w:adjustRightInd w:val="0"/>
              <w:rPr>
                <w:rFonts w:cs="Helvetica"/>
                <w:sz w:val="20"/>
                <w:szCs w:val="20"/>
              </w:rPr>
            </w:pPr>
          </w:p>
        </w:tc>
        <w:tc>
          <w:tcPr>
            <w:tcW w:w="2666" w:type="dxa"/>
            <w:shd w:val="clear" w:color="auto" w:fill="92D050"/>
          </w:tcPr>
          <w:p w:rsidR="00BA1164" w:rsidRPr="00BA1164" w:rsidRDefault="00BA1164" w:rsidP="00BA1164">
            <w:pPr>
              <w:rPr>
                <w:sz w:val="20"/>
                <w:szCs w:val="18"/>
              </w:rPr>
            </w:pPr>
            <w:r w:rsidRPr="00BA1164">
              <w:rPr>
                <w:sz w:val="20"/>
                <w:szCs w:val="18"/>
              </w:rPr>
              <w:t>Retrospective review 39 patients with terminal illness</w:t>
            </w:r>
          </w:p>
        </w:tc>
        <w:tc>
          <w:tcPr>
            <w:tcW w:w="983" w:type="dxa"/>
            <w:shd w:val="clear" w:color="auto" w:fill="92D050"/>
          </w:tcPr>
          <w:p w:rsidR="00BA1164" w:rsidRPr="00BA1164" w:rsidRDefault="00BA1164" w:rsidP="00BA1164">
            <w:pPr>
              <w:rPr>
                <w:sz w:val="20"/>
                <w:szCs w:val="20"/>
              </w:rPr>
            </w:pPr>
            <w:r w:rsidRPr="00BA1164">
              <w:rPr>
                <w:sz w:val="20"/>
                <w:szCs w:val="20"/>
              </w:rPr>
              <w:t>Rectal</w:t>
            </w:r>
          </w:p>
          <w:p w:rsidR="00BA1164" w:rsidRPr="00BA1164" w:rsidRDefault="00BA1164" w:rsidP="00BA1164">
            <w:pPr>
              <w:rPr>
                <w:sz w:val="20"/>
                <w:szCs w:val="20"/>
              </w:rPr>
            </w:pPr>
            <w:r w:rsidRPr="00BA1164">
              <w:rPr>
                <w:sz w:val="20"/>
                <w:szCs w:val="20"/>
              </w:rPr>
              <w:t>MS Contin®</w:t>
            </w:r>
          </w:p>
        </w:tc>
        <w:tc>
          <w:tcPr>
            <w:tcW w:w="8907" w:type="dxa"/>
            <w:shd w:val="clear" w:color="auto" w:fill="92D050"/>
          </w:tcPr>
          <w:p w:rsidR="00BA1164" w:rsidRPr="00BA1164" w:rsidRDefault="00BA1164" w:rsidP="00BA1164">
            <w:pPr>
              <w:rPr>
                <w:sz w:val="18"/>
                <w:szCs w:val="18"/>
              </w:rPr>
            </w:pPr>
            <w:r w:rsidRPr="00BA1164">
              <w:rPr>
                <w:sz w:val="18"/>
                <w:szCs w:val="18"/>
              </w:rPr>
              <w:t>Twenty-seven of the patients experienced equivalent analgesia with no change in side effects when the route was changed from oral to rectal. In 11 of the patients, the dose was reduced due to increased drowsiness with rectal administration.</w:t>
            </w:r>
          </w:p>
        </w:tc>
      </w:tr>
      <w:tr w:rsidR="00BA1164" w:rsidRPr="00BA1164" w:rsidTr="00BA1164">
        <w:tc>
          <w:tcPr>
            <w:tcW w:w="1618" w:type="dxa"/>
            <w:shd w:val="clear" w:color="auto" w:fill="92D050"/>
          </w:tcPr>
          <w:p w:rsidR="00BA1164" w:rsidRPr="00BA1164" w:rsidRDefault="00BA1164" w:rsidP="00BA1164">
            <w:pPr>
              <w:rPr>
                <w:sz w:val="20"/>
                <w:szCs w:val="20"/>
              </w:rPr>
            </w:pPr>
            <w:r w:rsidRPr="00BA1164">
              <w:rPr>
                <w:sz w:val="20"/>
                <w:szCs w:val="20"/>
              </w:rPr>
              <w:t>[120] Moolenaar,</w:t>
            </w:r>
          </w:p>
          <w:p w:rsidR="00BA1164" w:rsidRPr="00BA1164" w:rsidRDefault="00BA1164" w:rsidP="00BA1164">
            <w:pPr>
              <w:rPr>
                <w:sz w:val="20"/>
                <w:szCs w:val="20"/>
              </w:rPr>
            </w:pPr>
            <w:r w:rsidRPr="00BA1164">
              <w:rPr>
                <w:sz w:val="20"/>
                <w:szCs w:val="20"/>
              </w:rPr>
              <w:t>2000</w:t>
            </w:r>
          </w:p>
        </w:tc>
        <w:tc>
          <w:tcPr>
            <w:tcW w:w="2666" w:type="dxa"/>
            <w:shd w:val="clear" w:color="auto" w:fill="92D050"/>
          </w:tcPr>
          <w:p w:rsidR="00BA1164" w:rsidRPr="00BA1164" w:rsidRDefault="00BA1164" w:rsidP="00BA1164">
            <w:pPr>
              <w:rPr>
                <w:sz w:val="20"/>
                <w:szCs w:val="18"/>
              </w:rPr>
            </w:pPr>
            <w:r w:rsidRPr="00BA1164">
              <w:rPr>
                <w:sz w:val="20"/>
                <w:szCs w:val="18"/>
              </w:rPr>
              <w:t>Randomized, double-blind, two-way, crossover 25 patients with cancer</w:t>
            </w:r>
          </w:p>
        </w:tc>
        <w:tc>
          <w:tcPr>
            <w:tcW w:w="983" w:type="dxa"/>
            <w:shd w:val="clear" w:color="auto" w:fill="92D050"/>
          </w:tcPr>
          <w:p w:rsidR="00BA1164" w:rsidRPr="00BA1164" w:rsidRDefault="00BA1164" w:rsidP="00BA1164">
            <w:pPr>
              <w:rPr>
                <w:sz w:val="20"/>
                <w:szCs w:val="20"/>
              </w:rPr>
            </w:pPr>
            <w:r w:rsidRPr="00BA1164">
              <w:rPr>
                <w:sz w:val="20"/>
                <w:szCs w:val="20"/>
              </w:rPr>
              <w:t xml:space="preserve">Rectal, oral </w:t>
            </w:r>
          </w:p>
          <w:p w:rsidR="00BA1164" w:rsidRPr="00BA1164" w:rsidRDefault="00BA1164" w:rsidP="00BA1164">
            <w:pPr>
              <w:rPr>
                <w:sz w:val="20"/>
                <w:szCs w:val="20"/>
              </w:rPr>
            </w:pPr>
            <w:r w:rsidRPr="00BA1164">
              <w:rPr>
                <w:sz w:val="20"/>
                <w:szCs w:val="20"/>
              </w:rPr>
              <w:t xml:space="preserve">MS Contin </w:t>
            </w:r>
          </w:p>
        </w:tc>
        <w:tc>
          <w:tcPr>
            <w:tcW w:w="8907" w:type="dxa"/>
            <w:shd w:val="clear" w:color="auto" w:fill="92D050"/>
          </w:tcPr>
          <w:p w:rsidR="00BA1164" w:rsidRPr="00BA1164" w:rsidRDefault="00BA1164" w:rsidP="00BA1164">
            <w:pPr>
              <w:rPr>
                <w:sz w:val="18"/>
                <w:szCs w:val="18"/>
              </w:rPr>
            </w:pPr>
            <w:r w:rsidRPr="00BA1164">
              <w:rPr>
                <w:sz w:val="18"/>
                <w:szCs w:val="18"/>
              </w:rPr>
              <w:t>In comparing the efficacy of a controlled-release suppository compared with MS Contin tablets, there were no significant differences in pain intensity scores, rescue medication use, sedation, or nausea.</w:t>
            </w:r>
          </w:p>
        </w:tc>
      </w:tr>
      <w:tr w:rsidR="00BA1164" w:rsidRPr="00BA1164" w:rsidTr="00BA1164">
        <w:tc>
          <w:tcPr>
            <w:tcW w:w="1618" w:type="dxa"/>
          </w:tcPr>
          <w:p w:rsidR="00BA1164" w:rsidRPr="00BA1164" w:rsidRDefault="00BA1164" w:rsidP="00BA1164">
            <w:pPr>
              <w:rPr>
                <w:sz w:val="20"/>
                <w:szCs w:val="20"/>
              </w:rPr>
            </w:pPr>
            <w:r w:rsidRPr="00BA1164">
              <w:rPr>
                <w:sz w:val="20"/>
                <w:szCs w:val="20"/>
              </w:rPr>
              <w:t>[123] Babul, 1998</w:t>
            </w:r>
          </w:p>
        </w:tc>
        <w:tc>
          <w:tcPr>
            <w:tcW w:w="2666" w:type="dxa"/>
          </w:tcPr>
          <w:p w:rsidR="00BA1164" w:rsidRPr="00BA1164" w:rsidRDefault="00BA1164" w:rsidP="00BA1164">
            <w:pPr>
              <w:rPr>
                <w:sz w:val="20"/>
                <w:szCs w:val="18"/>
              </w:rPr>
            </w:pPr>
            <w:r w:rsidRPr="00BA1164">
              <w:rPr>
                <w:sz w:val="20"/>
                <w:szCs w:val="18"/>
              </w:rPr>
              <w:t>Double-blind, crossover 27 patients with cancer</w:t>
            </w:r>
          </w:p>
        </w:tc>
        <w:tc>
          <w:tcPr>
            <w:tcW w:w="983" w:type="dxa"/>
          </w:tcPr>
          <w:p w:rsidR="00BA1164" w:rsidRPr="00BA1164" w:rsidRDefault="00BA1164" w:rsidP="00BA1164">
            <w:pPr>
              <w:rPr>
                <w:sz w:val="20"/>
                <w:szCs w:val="20"/>
              </w:rPr>
            </w:pPr>
            <w:r w:rsidRPr="00BA1164">
              <w:rPr>
                <w:sz w:val="20"/>
                <w:szCs w:val="20"/>
              </w:rPr>
              <w:t>Rectal, oral</w:t>
            </w:r>
          </w:p>
        </w:tc>
        <w:tc>
          <w:tcPr>
            <w:tcW w:w="8907" w:type="dxa"/>
          </w:tcPr>
          <w:p w:rsidR="00BA1164" w:rsidRPr="00BA1164" w:rsidRDefault="00BA1164" w:rsidP="00BA1164">
            <w:pPr>
              <w:rPr>
                <w:sz w:val="18"/>
                <w:szCs w:val="18"/>
              </w:rPr>
            </w:pPr>
            <w:r w:rsidRPr="00BA1164">
              <w:rPr>
                <w:sz w:val="18"/>
                <w:szCs w:val="18"/>
              </w:rPr>
              <w:t>Morphine In comparing the safety and efficacy of controlled-release suppositories vs controlled-release tablets when administered every 12 hours for 7 days each using a 1:1 analgesic</w:t>
            </w:r>
            <w:r w:rsidR="00F74CCD">
              <w:rPr>
                <w:sz w:val="18"/>
                <w:szCs w:val="18"/>
              </w:rPr>
              <w:t xml:space="preserve"> </w:t>
            </w:r>
            <w:r w:rsidRPr="00BA1164">
              <w:rPr>
                <w:sz w:val="18"/>
                <w:szCs w:val="18"/>
              </w:rPr>
              <w:t>equivalence ratio, comparable analgesia and side effect profiles were found.</w:t>
            </w:r>
          </w:p>
        </w:tc>
      </w:tr>
    </w:tbl>
    <w:p w:rsidR="0026239B" w:rsidRDefault="0026239B" w:rsidP="00BA1164">
      <w:pPr>
        <w:rPr>
          <w:i/>
          <w:iCs/>
        </w:rPr>
      </w:pPr>
    </w:p>
    <w:p w:rsidR="008B3508" w:rsidRDefault="008B3508" w:rsidP="008B3508">
      <w:pPr>
        <w:pStyle w:val="Heading2"/>
      </w:pPr>
      <w:proofErr w:type="gramStart"/>
      <w:r>
        <w:lastRenderedPageBreak/>
        <w:t>Direct quotes from the paper.</w:t>
      </w:r>
      <w:proofErr w:type="gramEnd"/>
    </w:p>
    <w:p w:rsidR="00BA1164" w:rsidRPr="00BA1164" w:rsidRDefault="00BA1164" w:rsidP="0026239B">
      <w:pPr>
        <w:keepNext/>
        <w:spacing w:after="0"/>
        <w:rPr>
          <w:b/>
          <w:iCs/>
        </w:rPr>
      </w:pPr>
      <w:r w:rsidRPr="00BA1164">
        <w:rPr>
          <w:b/>
          <w:iCs/>
        </w:rPr>
        <w:t xml:space="preserve">Medications </w:t>
      </w:r>
    </w:p>
    <w:p w:rsidR="00BA1164" w:rsidRPr="00BA1164" w:rsidRDefault="00BA1164" w:rsidP="00BA1164">
      <w:r w:rsidRPr="00BA1164">
        <w:t xml:space="preserve">Commercially available rectal suppositories in the United States include morphine, oxycodone, oxymorphone, and hydromorphone. Rectal suppositories or nonstandard formulations of other opioids also can be custom made by local compounding pharmacies. Tablets used for oral administration can also be administered rectally. Rectal opioids are typically dosed at the same dose as with oral administration. A handful of articles describing the use of rectal administration of hydromorphone [107,108], oxymorphone [109,110], and oxycodone [111,112] were identified. However, due to the paucity of studies, no conclusions supported by literature can be drawn for these opioids (Table 8). Small studies [113,114] and a case report [115] were also identified that evaluated the efficacy of rectal methadone compared with SC hydromorphone. The results of these studies suggested that rectal methadone might be useful for some patients. There are only a few studies that reference the prevalence of rectal administration and are summarized in Table 8. </w:t>
      </w:r>
    </w:p>
    <w:p w:rsidR="00BA1164" w:rsidRPr="00BA1164" w:rsidRDefault="00BA1164" w:rsidP="0026239B">
      <w:pPr>
        <w:keepNext/>
        <w:spacing w:after="0"/>
        <w:rPr>
          <w:b/>
          <w:iCs/>
        </w:rPr>
      </w:pPr>
      <w:r w:rsidRPr="00BA1164">
        <w:rPr>
          <w:b/>
          <w:iCs/>
        </w:rPr>
        <w:t>Indications</w:t>
      </w:r>
    </w:p>
    <w:p w:rsidR="00BA1164" w:rsidRPr="00BA1164" w:rsidRDefault="00BA1164" w:rsidP="00BA1164">
      <w:r w:rsidRPr="00BA1164">
        <w:t>This route is useful for patients with stable pain in whom the oral route is problematic or unavailable, such as those with nausea or vomiting or who are restricted to nothing by mouth preoperatively or postoperatively. It may also be useful for patients with dysphagia, GI obstruction, malabsorption [16,116,117], altered consciousness, or impaired neuromuscular function.</w:t>
      </w:r>
    </w:p>
    <w:p w:rsidR="00BA1164" w:rsidRPr="00BA1164" w:rsidRDefault="00BA1164" w:rsidP="0026239B">
      <w:pPr>
        <w:spacing w:after="0"/>
        <w:rPr>
          <w:b/>
          <w:iCs/>
        </w:rPr>
      </w:pPr>
      <w:r w:rsidRPr="00BA1164">
        <w:rPr>
          <w:b/>
          <w:iCs/>
        </w:rPr>
        <w:t xml:space="preserve">Advantages </w:t>
      </w:r>
    </w:p>
    <w:p w:rsidR="00BA1164" w:rsidRPr="00BA1164" w:rsidRDefault="00BA1164" w:rsidP="00BA1164">
      <w:r w:rsidRPr="00BA1164">
        <w:t>Advantages for using rectal route include its simplicity to administer, non</w:t>
      </w:r>
      <w:r w:rsidR="00F74CCD">
        <w:t xml:space="preserve"> </w:t>
      </w:r>
      <w:r w:rsidRPr="00BA1164">
        <w:t>invasiveness, and inexpensiveness. Several studies have documented the efficacy and safety of rectal administration of controlled-release morphine [113,118–123]. For example, a double-blind, double-dummy, crossover study compared the efficacy, tolerability, and time of onset of analgesia after the administration of 10 mg of morphine via the oral and rectal routes in 34 opioid-naïve cancer patients with pain [118]. Rectal administration reduced pain intensity more rapidly than oral (10 vs 60 minutes), and pain relief lasted longer with rectal administration (180 vs 120 minutes). No significant difference was observed in the intensity of sedation, nausea, or number of vomiting episodes between the oral and rectal routes. Further studies are summarized in Table 8.</w:t>
      </w:r>
    </w:p>
    <w:p w:rsidR="00BA1164" w:rsidRPr="00BA1164" w:rsidRDefault="00BA1164" w:rsidP="0026239B">
      <w:pPr>
        <w:spacing w:after="0"/>
        <w:rPr>
          <w:b/>
          <w:iCs/>
        </w:rPr>
      </w:pPr>
      <w:r w:rsidRPr="00BA1164">
        <w:rPr>
          <w:b/>
          <w:iCs/>
        </w:rPr>
        <w:t>Cautions and Considerations</w:t>
      </w:r>
    </w:p>
    <w:p w:rsidR="00BA1164" w:rsidRPr="00BA1164" w:rsidRDefault="00BA1164" w:rsidP="00BA1164">
      <w:r w:rsidRPr="00BA1164">
        <w:rPr>
          <w:i/>
          <w:iCs/>
        </w:rPr>
        <w:t xml:space="preserve"> </w:t>
      </w:r>
      <w:r w:rsidRPr="00BA1164">
        <w:t>Given most people’s perception of rectal administration, relative paucity of pharmacologic data, and the availability of multiple other routes, repeated rectal dosing is often unnecessary and should generally not be used. When needed for p</w:t>
      </w:r>
      <w:r w:rsidR="00F74CCD">
        <w:t>a</w:t>
      </w:r>
      <w:r w:rsidRPr="00BA1164">
        <w:t>ediatric patients, this route can work well, especially with gel formulations, and is perhaps more widely acceptable given the use of rectal benzodiazepines for seizures [124] This route is not useful for patients who are physically unable to place the suppository, or if caregivers are unable or unwilling to do so, as some may find this route undesirable. This route should also be avoided in neutropenic and/or thrombocytopenic patients.</w:t>
      </w:r>
    </w:p>
    <w:p w:rsidR="0026239B" w:rsidRDefault="0026239B">
      <w:pPr>
        <w:rPr>
          <w:rFonts w:asciiTheme="majorHAnsi" w:eastAsiaTheme="majorEastAsia" w:hAnsiTheme="majorHAnsi" w:cstheme="majorBidi"/>
          <w:b/>
          <w:bCs/>
          <w:color w:val="4F81BD" w:themeColor="accent1"/>
        </w:rPr>
      </w:pPr>
      <w:r>
        <w:br w:type="page"/>
      </w:r>
    </w:p>
    <w:p w:rsidR="008B3508" w:rsidRDefault="008B3508" w:rsidP="0026239B">
      <w:pPr>
        <w:pStyle w:val="Heading3"/>
      </w:pPr>
    </w:p>
    <w:tbl>
      <w:tblPr>
        <w:tblStyle w:val="TableGrid"/>
        <w:tblpPr w:leftFromText="181" w:rightFromText="181" w:vertAnchor="page" w:horzAnchor="margin" w:tblpY="811"/>
        <w:tblW w:w="14567" w:type="dxa"/>
        <w:tblLook w:val="04A0" w:firstRow="1" w:lastRow="0" w:firstColumn="1" w:lastColumn="0" w:noHBand="0" w:noVBand="1"/>
      </w:tblPr>
      <w:tblGrid>
        <w:gridCol w:w="1526"/>
        <w:gridCol w:w="3094"/>
        <w:gridCol w:w="1158"/>
        <w:gridCol w:w="8789"/>
      </w:tblGrid>
      <w:tr w:rsidR="00FB12D1" w:rsidRPr="008B0805" w:rsidTr="006860BA">
        <w:tc>
          <w:tcPr>
            <w:tcW w:w="14567" w:type="dxa"/>
            <w:gridSpan w:val="4"/>
          </w:tcPr>
          <w:p w:rsidR="00FB12D1" w:rsidRDefault="00FB12D1" w:rsidP="00FB12D1">
            <w:pPr>
              <w:rPr>
                <w:sz w:val="20"/>
              </w:rPr>
            </w:pPr>
            <w:r w:rsidRPr="00FB12D1">
              <w:rPr>
                <w:sz w:val="20"/>
              </w:rPr>
              <w:t>Other papers</w:t>
            </w:r>
            <w:r>
              <w:rPr>
                <w:sz w:val="20"/>
              </w:rPr>
              <w:t xml:space="preserve"> of note,</w:t>
            </w:r>
            <w:r w:rsidR="00F74CCD">
              <w:rPr>
                <w:sz w:val="20"/>
              </w:rPr>
              <w:t xml:space="preserve"> from the</w:t>
            </w:r>
            <w:r>
              <w:t xml:space="preserve"> </w:t>
            </w:r>
            <w:proofErr w:type="gramStart"/>
            <w:r w:rsidRPr="00FB12D1">
              <w:rPr>
                <w:sz w:val="20"/>
              </w:rPr>
              <w:t>Kestenbaum  review</w:t>
            </w:r>
            <w:proofErr w:type="gramEnd"/>
            <w:r w:rsidRPr="00FB12D1">
              <w:rPr>
                <w:sz w:val="20"/>
              </w:rPr>
              <w:t>.</w:t>
            </w:r>
            <w:r>
              <w:rPr>
                <w:sz w:val="20"/>
              </w:rPr>
              <w:t xml:space="preserve"> </w:t>
            </w:r>
          </w:p>
        </w:tc>
      </w:tr>
      <w:tr w:rsidR="00FB12D1" w:rsidRPr="008B0805" w:rsidTr="00FB12D1">
        <w:tc>
          <w:tcPr>
            <w:tcW w:w="1526" w:type="dxa"/>
          </w:tcPr>
          <w:p w:rsidR="00FB12D1" w:rsidRPr="008B0805" w:rsidRDefault="00FB12D1" w:rsidP="00FB12D1">
            <w:pPr>
              <w:rPr>
                <w:sz w:val="20"/>
              </w:rPr>
            </w:pPr>
            <w:r>
              <w:rPr>
                <w:sz w:val="20"/>
              </w:rPr>
              <w:t>Yap</w:t>
            </w:r>
            <w:r w:rsidRPr="008B0805">
              <w:rPr>
                <w:sz w:val="20"/>
              </w:rPr>
              <w:t>, 2014</w:t>
            </w:r>
          </w:p>
        </w:tc>
        <w:tc>
          <w:tcPr>
            <w:tcW w:w="3094" w:type="dxa"/>
          </w:tcPr>
          <w:p w:rsidR="00FB12D1" w:rsidRPr="008B0805" w:rsidRDefault="00FB12D1" w:rsidP="00FB12D1">
            <w:pPr>
              <w:rPr>
                <w:sz w:val="20"/>
              </w:rPr>
            </w:pPr>
            <w:r w:rsidRPr="008B0805">
              <w:rPr>
                <w:sz w:val="20"/>
              </w:rPr>
              <w:t xml:space="preserve">49 </w:t>
            </w:r>
            <w:r>
              <w:rPr>
                <w:sz w:val="20"/>
              </w:rPr>
              <w:t>caregivers</w:t>
            </w:r>
            <w:r w:rsidRPr="008B0805">
              <w:rPr>
                <w:sz w:val="20"/>
              </w:rPr>
              <w:t xml:space="preserve"> were given a ‘Comfort Care Kit</w:t>
            </w:r>
            <w:r>
              <w:rPr>
                <w:sz w:val="20"/>
              </w:rPr>
              <w:t>’</w:t>
            </w:r>
            <w:r w:rsidRPr="008B0805">
              <w:rPr>
                <w:sz w:val="20"/>
              </w:rPr>
              <w:t xml:space="preserve"> (CCK)</w:t>
            </w:r>
            <w:r>
              <w:rPr>
                <w:sz w:val="20"/>
              </w:rPr>
              <w:t xml:space="preserve"> for family members entering a care of the dying pathway.</w:t>
            </w:r>
          </w:p>
        </w:tc>
        <w:tc>
          <w:tcPr>
            <w:tcW w:w="1158" w:type="dxa"/>
          </w:tcPr>
          <w:p w:rsidR="00FB12D1" w:rsidRPr="008B0805" w:rsidRDefault="00FB12D1" w:rsidP="00FB12D1">
            <w:pPr>
              <w:rPr>
                <w:sz w:val="20"/>
              </w:rPr>
            </w:pPr>
            <w:r>
              <w:rPr>
                <w:sz w:val="20"/>
              </w:rPr>
              <w:t>Oral, sublingual, rectal</w:t>
            </w:r>
          </w:p>
        </w:tc>
        <w:tc>
          <w:tcPr>
            <w:tcW w:w="8789" w:type="dxa"/>
          </w:tcPr>
          <w:p w:rsidR="00FB12D1" w:rsidRDefault="00FB12D1" w:rsidP="00FB12D1">
            <w:pPr>
              <w:rPr>
                <w:sz w:val="20"/>
              </w:rPr>
            </w:pPr>
            <w:r>
              <w:rPr>
                <w:sz w:val="20"/>
              </w:rPr>
              <w:t xml:space="preserve">Packs contained </w:t>
            </w:r>
            <w:r w:rsidRPr="00B30EAF">
              <w:rPr>
                <w:sz w:val="20"/>
              </w:rPr>
              <w:t>IV morphine sulfate given PR</w:t>
            </w:r>
            <w:r>
              <w:rPr>
                <w:sz w:val="20"/>
              </w:rPr>
              <w:t xml:space="preserve">, </w:t>
            </w:r>
            <w:r w:rsidRPr="00B30EAF">
              <w:rPr>
                <w:sz w:val="20"/>
              </w:rPr>
              <w:t>IV haloperidol give S/L</w:t>
            </w:r>
            <w:r>
              <w:rPr>
                <w:sz w:val="20"/>
              </w:rPr>
              <w:t>,</w:t>
            </w:r>
            <w:r w:rsidRPr="00B30EAF">
              <w:rPr>
                <w:sz w:val="20"/>
              </w:rPr>
              <w:tab/>
              <w:t>PO lorazepam given S/L</w:t>
            </w:r>
            <w:r>
              <w:rPr>
                <w:sz w:val="20"/>
              </w:rPr>
              <w:t xml:space="preserve">, </w:t>
            </w:r>
            <w:r w:rsidRPr="00B30EAF">
              <w:rPr>
                <w:sz w:val="20"/>
              </w:rPr>
              <w:t>Atropine eye drops given S/L</w:t>
            </w:r>
            <w:r>
              <w:rPr>
                <w:sz w:val="20"/>
              </w:rPr>
              <w:t xml:space="preserve">, </w:t>
            </w:r>
            <w:r w:rsidRPr="00B30EAF">
              <w:rPr>
                <w:sz w:val="20"/>
              </w:rPr>
              <w:t>Paracetamol suppositories</w:t>
            </w:r>
            <w:r>
              <w:rPr>
                <w:sz w:val="20"/>
              </w:rPr>
              <w:t>.</w:t>
            </w:r>
          </w:p>
          <w:p w:rsidR="00FB12D1" w:rsidRDefault="00FB12D1" w:rsidP="00FB12D1">
            <w:pPr>
              <w:rPr>
                <w:sz w:val="20"/>
              </w:rPr>
            </w:pPr>
            <w:r>
              <w:rPr>
                <w:sz w:val="20"/>
              </w:rPr>
              <w:t xml:space="preserve">33 of the families used the packs, with sublingual use of atropine eye drops the most commonly used. Second most commonly used was morphine parenteral solution PR. </w:t>
            </w:r>
          </w:p>
          <w:p w:rsidR="00FB12D1" w:rsidRPr="008B0805" w:rsidRDefault="00FB12D1" w:rsidP="00FB12D1">
            <w:pPr>
              <w:rPr>
                <w:sz w:val="20"/>
              </w:rPr>
            </w:pPr>
            <w:r>
              <w:rPr>
                <w:sz w:val="20"/>
              </w:rPr>
              <w:t>32 of the 33 caregivers found the medication worked successfully to alleviate symptoms. Only 1 caregiver took their family member to hospital for dyspnoea despite rectal morphine use – this patient passed away in hospital, all other patients enrolled passed away at home.</w:t>
            </w:r>
          </w:p>
        </w:tc>
      </w:tr>
      <w:tr w:rsidR="00FB12D1" w:rsidRPr="008B0805" w:rsidTr="00FB12D1">
        <w:tc>
          <w:tcPr>
            <w:tcW w:w="1526" w:type="dxa"/>
          </w:tcPr>
          <w:p w:rsidR="00FB12D1" w:rsidRPr="008B0805" w:rsidRDefault="00FB12D1" w:rsidP="00FB12D1">
            <w:pPr>
              <w:rPr>
                <w:sz w:val="20"/>
              </w:rPr>
            </w:pPr>
            <w:r>
              <w:rPr>
                <w:sz w:val="20"/>
              </w:rPr>
              <w:t>Walsh &amp; Tropiano, 2002</w:t>
            </w:r>
          </w:p>
        </w:tc>
        <w:tc>
          <w:tcPr>
            <w:tcW w:w="3094" w:type="dxa"/>
          </w:tcPr>
          <w:p w:rsidR="00FB12D1" w:rsidRPr="008B0805" w:rsidRDefault="00FB12D1" w:rsidP="00FB12D1">
            <w:pPr>
              <w:rPr>
                <w:sz w:val="20"/>
              </w:rPr>
            </w:pPr>
            <w:r>
              <w:rPr>
                <w:sz w:val="20"/>
              </w:rPr>
              <w:t>Case study of 72 year old man with advanced prostate cancer with bony metastases.</w:t>
            </w:r>
          </w:p>
        </w:tc>
        <w:tc>
          <w:tcPr>
            <w:tcW w:w="1158" w:type="dxa"/>
          </w:tcPr>
          <w:p w:rsidR="00FB12D1" w:rsidRDefault="00FB12D1" w:rsidP="00FB12D1">
            <w:pPr>
              <w:rPr>
                <w:sz w:val="20"/>
              </w:rPr>
            </w:pPr>
            <w:r>
              <w:rPr>
                <w:sz w:val="20"/>
              </w:rPr>
              <w:t>Rectal SR Oramorph</w:t>
            </w:r>
          </w:p>
        </w:tc>
        <w:tc>
          <w:tcPr>
            <w:tcW w:w="8789" w:type="dxa"/>
          </w:tcPr>
          <w:p w:rsidR="00FB12D1" w:rsidRDefault="00FB12D1" w:rsidP="00FB12D1">
            <w:pPr>
              <w:rPr>
                <w:sz w:val="20"/>
              </w:rPr>
            </w:pPr>
            <w:r>
              <w:rPr>
                <w:sz w:val="20"/>
              </w:rPr>
              <w:t xml:space="preserve">Switched from s/c morphine to PO MS Contin (due to injection site reactions), to PO SR Oramorph (due to nausea), to use of SR Oramorph tablets PR (due to continued nausea). </w:t>
            </w:r>
          </w:p>
          <w:p w:rsidR="00FB12D1" w:rsidRDefault="00FB12D1" w:rsidP="00FB12D1">
            <w:pPr>
              <w:rPr>
                <w:sz w:val="20"/>
              </w:rPr>
            </w:pPr>
            <w:r>
              <w:rPr>
                <w:sz w:val="20"/>
              </w:rPr>
              <w:t>Dose ratio for PO to PR switch was 1:1. Tablets were placed directly into the rectum with a water-soluble lubricant.</w:t>
            </w:r>
          </w:p>
          <w:p w:rsidR="00FB12D1" w:rsidRDefault="00FB12D1" w:rsidP="00FB12D1">
            <w:pPr>
              <w:rPr>
                <w:sz w:val="20"/>
              </w:rPr>
            </w:pPr>
            <w:r>
              <w:rPr>
                <w:sz w:val="20"/>
              </w:rPr>
              <w:t>Nausea resolved and pain relief remained excellent as per PO dosing. PR administration continued for 6 months.</w:t>
            </w:r>
          </w:p>
        </w:tc>
      </w:tr>
      <w:tr w:rsidR="00FB12D1" w:rsidRPr="008B0805" w:rsidTr="00FB12D1">
        <w:tc>
          <w:tcPr>
            <w:tcW w:w="1526" w:type="dxa"/>
          </w:tcPr>
          <w:p w:rsidR="00FB12D1" w:rsidRDefault="00FB12D1" w:rsidP="00FB12D1">
            <w:pPr>
              <w:rPr>
                <w:sz w:val="20"/>
              </w:rPr>
            </w:pPr>
            <w:r>
              <w:rPr>
                <w:sz w:val="20"/>
              </w:rPr>
              <w:t>Kaiko, 1992</w:t>
            </w:r>
          </w:p>
        </w:tc>
        <w:tc>
          <w:tcPr>
            <w:tcW w:w="3094" w:type="dxa"/>
          </w:tcPr>
          <w:p w:rsidR="00FB12D1" w:rsidRDefault="00FB12D1" w:rsidP="00FB12D1">
            <w:pPr>
              <w:rPr>
                <w:sz w:val="20"/>
              </w:rPr>
            </w:pPr>
            <w:r w:rsidRPr="001F541E">
              <w:rPr>
                <w:sz w:val="20"/>
              </w:rPr>
              <w:t>14-</w:t>
            </w:r>
            <w:proofErr w:type="gramStart"/>
            <w:r w:rsidRPr="001F541E">
              <w:rPr>
                <w:sz w:val="20"/>
              </w:rPr>
              <w:t>subject,</w:t>
            </w:r>
            <w:proofErr w:type="gramEnd"/>
            <w:r w:rsidRPr="001F541E">
              <w:rPr>
                <w:sz w:val="20"/>
              </w:rPr>
              <w:t xml:space="preserve"> randomized, single-dose, analytically blinded, crossover study</w:t>
            </w:r>
            <w:r>
              <w:rPr>
                <w:sz w:val="20"/>
              </w:rPr>
              <w:t>.</w:t>
            </w:r>
          </w:p>
        </w:tc>
        <w:tc>
          <w:tcPr>
            <w:tcW w:w="1158" w:type="dxa"/>
          </w:tcPr>
          <w:p w:rsidR="00FB12D1" w:rsidRDefault="00FB12D1" w:rsidP="00FB12D1">
            <w:pPr>
              <w:rPr>
                <w:sz w:val="20"/>
              </w:rPr>
            </w:pPr>
            <w:r>
              <w:rPr>
                <w:sz w:val="20"/>
              </w:rPr>
              <w:t>Oral, Rectal</w:t>
            </w:r>
          </w:p>
        </w:tc>
        <w:tc>
          <w:tcPr>
            <w:tcW w:w="8789" w:type="dxa"/>
          </w:tcPr>
          <w:p w:rsidR="00FB12D1" w:rsidRDefault="00FB12D1" w:rsidP="00FB12D1">
            <w:pPr>
              <w:rPr>
                <w:sz w:val="20"/>
              </w:rPr>
            </w:pPr>
            <w:r>
              <w:rPr>
                <w:sz w:val="20"/>
              </w:rPr>
              <w:t xml:space="preserve">Comparison of </w:t>
            </w:r>
            <w:r w:rsidRPr="000E177A">
              <w:rPr>
                <w:sz w:val="20"/>
              </w:rPr>
              <w:t>controlled-rele</w:t>
            </w:r>
            <w:r>
              <w:rPr>
                <w:sz w:val="20"/>
              </w:rPr>
              <w:t>ase morphine 30-mg tablets</w:t>
            </w:r>
            <w:r w:rsidRPr="000E177A">
              <w:rPr>
                <w:sz w:val="20"/>
              </w:rPr>
              <w:t xml:space="preserve"> administered orally or rectally and immediate</w:t>
            </w:r>
            <w:r>
              <w:rPr>
                <w:sz w:val="20"/>
              </w:rPr>
              <w:t>-release morphine</w:t>
            </w:r>
            <w:r w:rsidRPr="000E177A">
              <w:rPr>
                <w:sz w:val="20"/>
              </w:rPr>
              <w:t xml:space="preserve"> 30-mg suppositories</w:t>
            </w:r>
            <w:r>
              <w:rPr>
                <w:sz w:val="20"/>
              </w:rPr>
              <w:t>.</w:t>
            </w:r>
          </w:p>
          <w:p w:rsidR="00FB12D1" w:rsidRDefault="00FB12D1" w:rsidP="00FB12D1">
            <w:pPr>
              <w:rPr>
                <w:sz w:val="20"/>
              </w:rPr>
            </w:pPr>
            <w:r>
              <w:rPr>
                <w:sz w:val="20"/>
              </w:rPr>
              <w:t xml:space="preserve">Total amounts of drug absorbed systemically were comparable, but peak blood levels from PR dosing were significantly less than PO. </w:t>
            </w:r>
          </w:p>
          <w:p w:rsidR="00FB12D1" w:rsidRDefault="00FB12D1" w:rsidP="00FB12D1">
            <w:pPr>
              <w:rPr>
                <w:sz w:val="20"/>
              </w:rPr>
            </w:pPr>
            <w:r>
              <w:rPr>
                <w:sz w:val="20"/>
              </w:rPr>
              <w:t>Rectal tablets achieved peak levels 5.4 hours after a dose, PO tablets after 2.5 hours.</w:t>
            </w:r>
          </w:p>
          <w:p w:rsidR="00FB12D1" w:rsidRDefault="00FB12D1" w:rsidP="00FB12D1">
            <w:pPr>
              <w:rPr>
                <w:sz w:val="20"/>
              </w:rPr>
            </w:pPr>
            <w:r>
              <w:rPr>
                <w:sz w:val="20"/>
              </w:rPr>
              <w:t>Rectal immediate-release suppositories peaked after just 1.1 hour and had very high peak doses (25.4ng/L vs 6.1ng/L PR tablets &amp; 9.7ng/L PO tablets).</w:t>
            </w:r>
          </w:p>
          <w:p w:rsidR="00FB12D1" w:rsidRDefault="00FB12D1" w:rsidP="00FB12D1">
            <w:pPr>
              <w:rPr>
                <w:sz w:val="20"/>
              </w:rPr>
            </w:pPr>
            <w:r>
              <w:rPr>
                <w:sz w:val="20"/>
              </w:rPr>
              <w:t>Use of MR tablets PR demonstrated less rectal irritation than immediate-release suppositories.</w:t>
            </w:r>
          </w:p>
        </w:tc>
      </w:tr>
      <w:tr w:rsidR="00FB12D1" w:rsidRPr="008B0805" w:rsidTr="00FB12D1">
        <w:tc>
          <w:tcPr>
            <w:tcW w:w="1526" w:type="dxa"/>
          </w:tcPr>
          <w:p w:rsidR="00FB12D1" w:rsidRDefault="00FB12D1" w:rsidP="00FB12D1">
            <w:pPr>
              <w:rPr>
                <w:sz w:val="20"/>
              </w:rPr>
            </w:pPr>
            <w:r>
              <w:rPr>
                <w:sz w:val="20"/>
              </w:rPr>
              <w:t>Grauer, 1992</w:t>
            </w:r>
          </w:p>
        </w:tc>
        <w:tc>
          <w:tcPr>
            <w:tcW w:w="3094" w:type="dxa"/>
          </w:tcPr>
          <w:p w:rsidR="00FB12D1" w:rsidRPr="001F541E" w:rsidRDefault="00FB12D1" w:rsidP="00FB12D1">
            <w:pPr>
              <w:rPr>
                <w:sz w:val="20"/>
              </w:rPr>
            </w:pPr>
            <w:r>
              <w:rPr>
                <w:sz w:val="20"/>
              </w:rPr>
              <w:t>Case report of 8 patients given morphine sulfate MR rectally or vaginally.</w:t>
            </w:r>
          </w:p>
        </w:tc>
        <w:tc>
          <w:tcPr>
            <w:tcW w:w="1158" w:type="dxa"/>
          </w:tcPr>
          <w:p w:rsidR="00FB12D1" w:rsidRDefault="00FB12D1" w:rsidP="00FB12D1">
            <w:pPr>
              <w:rPr>
                <w:sz w:val="20"/>
              </w:rPr>
            </w:pPr>
            <w:r>
              <w:rPr>
                <w:sz w:val="20"/>
              </w:rPr>
              <w:t>Rectal, Vaginal</w:t>
            </w:r>
          </w:p>
        </w:tc>
        <w:tc>
          <w:tcPr>
            <w:tcW w:w="8789" w:type="dxa"/>
          </w:tcPr>
          <w:p w:rsidR="00FB12D1" w:rsidRPr="00936869" w:rsidRDefault="00FB12D1" w:rsidP="00FB12D1">
            <w:pPr>
              <w:rPr>
                <w:sz w:val="20"/>
              </w:rPr>
            </w:pPr>
            <w:r w:rsidRPr="00936869">
              <w:rPr>
                <w:sz w:val="20"/>
              </w:rPr>
              <w:t>One</w:t>
            </w:r>
            <w:r>
              <w:rPr>
                <w:sz w:val="20"/>
              </w:rPr>
              <w:t xml:space="preserve"> </w:t>
            </w:r>
            <w:r w:rsidRPr="00936869">
              <w:rPr>
                <w:sz w:val="20"/>
              </w:rPr>
              <w:t>study examined the use of 30-mg sustained-release tablets</w:t>
            </w:r>
            <w:r>
              <w:rPr>
                <w:sz w:val="20"/>
              </w:rPr>
              <w:t xml:space="preserve"> </w:t>
            </w:r>
            <w:r w:rsidRPr="00936869">
              <w:rPr>
                <w:sz w:val="20"/>
              </w:rPr>
              <w:t>(Oramorph SR) given either rectally or vaginally in</w:t>
            </w:r>
            <w:r>
              <w:rPr>
                <w:sz w:val="20"/>
              </w:rPr>
              <w:t xml:space="preserve"> </w:t>
            </w:r>
            <w:r w:rsidRPr="00936869">
              <w:rPr>
                <w:sz w:val="20"/>
              </w:rPr>
              <w:t xml:space="preserve">eight patients at doses </w:t>
            </w:r>
            <w:r>
              <w:rPr>
                <w:sz w:val="20"/>
              </w:rPr>
              <w:t>between 60 and 360 mg daily.</w:t>
            </w:r>
          </w:p>
          <w:p w:rsidR="00FB12D1" w:rsidRDefault="00FB12D1" w:rsidP="00FB12D1">
            <w:pPr>
              <w:rPr>
                <w:sz w:val="20"/>
              </w:rPr>
            </w:pPr>
            <w:r w:rsidRPr="00936869">
              <w:rPr>
                <w:sz w:val="20"/>
              </w:rPr>
              <w:t>Pain control and side effects were acceptable and the</w:t>
            </w:r>
            <w:r>
              <w:rPr>
                <w:sz w:val="20"/>
              </w:rPr>
              <w:t xml:space="preserve"> </w:t>
            </w:r>
            <w:r w:rsidRPr="00936869">
              <w:rPr>
                <w:sz w:val="20"/>
              </w:rPr>
              <w:t>routes, well tolerated.</w:t>
            </w:r>
          </w:p>
        </w:tc>
      </w:tr>
      <w:tr w:rsidR="00FB12D1" w:rsidRPr="008B0805" w:rsidTr="00FB12D1">
        <w:tc>
          <w:tcPr>
            <w:tcW w:w="1526" w:type="dxa"/>
          </w:tcPr>
          <w:p w:rsidR="00FB12D1" w:rsidRDefault="00FB12D1" w:rsidP="00FB12D1">
            <w:pPr>
              <w:rPr>
                <w:sz w:val="20"/>
              </w:rPr>
            </w:pPr>
            <w:r>
              <w:rPr>
                <w:sz w:val="20"/>
              </w:rPr>
              <w:t>Pannuti, 1982</w:t>
            </w:r>
          </w:p>
        </w:tc>
        <w:tc>
          <w:tcPr>
            <w:tcW w:w="3094" w:type="dxa"/>
          </w:tcPr>
          <w:p w:rsidR="00FB12D1" w:rsidRDefault="00FB12D1" w:rsidP="00FB12D1">
            <w:pPr>
              <w:rPr>
                <w:sz w:val="20"/>
              </w:rPr>
            </w:pPr>
            <w:r>
              <w:rPr>
                <w:sz w:val="20"/>
              </w:rPr>
              <w:t>Controlled cohort study of 102 patients</w:t>
            </w:r>
          </w:p>
        </w:tc>
        <w:tc>
          <w:tcPr>
            <w:tcW w:w="1158" w:type="dxa"/>
          </w:tcPr>
          <w:p w:rsidR="00FB12D1" w:rsidRDefault="00FB12D1" w:rsidP="00FB12D1">
            <w:pPr>
              <w:rPr>
                <w:sz w:val="20"/>
              </w:rPr>
            </w:pPr>
            <w:r>
              <w:rPr>
                <w:sz w:val="20"/>
              </w:rPr>
              <w:t>Oral, Rectal, Sublingual</w:t>
            </w:r>
          </w:p>
        </w:tc>
        <w:tc>
          <w:tcPr>
            <w:tcW w:w="8789" w:type="dxa"/>
          </w:tcPr>
          <w:p w:rsidR="00FB12D1" w:rsidRDefault="00FB12D1" w:rsidP="00FB12D1">
            <w:pPr>
              <w:rPr>
                <w:sz w:val="20"/>
              </w:rPr>
            </w:pPr>
            <w:r>
              <w:rPr>
                <w:sz w:val="20"/>
              </w:rPr>
              <w:t>Comparison of morphine sulfate across different routes.</w:t>
            </w:r>
          </w:p>
          <w:p w:rsidR="00FB12D1" w:rsidRPr="00936869" w:rsidRDefault="00FB12D1" w:rsidP="00FB12D1">
            <w:pPr>
              <w:rPr>
                <w:sz w:val="20"/>
              </w:rPr>
            </w:pPr>
            <w:r w:rsidRPr="0011346E">
              <w:rPr>
                <w:sz w:val="20"/>
              </w:rPr>
              <w:t>All routes were</w:t>
            </w:r>
            <w:r>
              <w:rPr>
                <w:sz w:val="20"/>
              </w:rPr>
              <w:t xml:space="preserve"> </w:t>
            </w:r>
            <w:r w:rsidRPr="0011346E">
              <w:rPr>
                <w:sz w:val="20"/>
              </w:rPr>
              <w:t>effective, authors</w:t>
            </w:r>
            <w:r>
              <w:rPr>
                <w:sz w:val="20"/>
              </w:rPr>
              <w:t xml:space="preserve"> </w:t>
            </w:r>
            <w:r w:rsidRPr="0011346E">
              <w:rPr>
                <w:sz w:val="20"/>
              </w:rPr>
              <w:t>state more rapid</w:t>
            </w:r>
            <w:r>
              <w:rPr>
                <w:sz w:val="20"/>
              </w:rPr>
              <w:t xml:space="preserve"> </w:t>
            </w:r>
            <w:r w:rsidRPr="0011346E">
              <w:rPr>
                <w:sz w:val="20"/>
              </w:rPr>
              <w:t>and significant pain</w:t>
            </w:r>
            <w:r>
              <w:rPr>
                <w:sz w:val="20"/>
              </w:rPr>
              <w:t xml:space="preserve"> </w:t>
            </w:r>
            <w:r w:rsidRPr="0011346E">
              <w:rPr>
                <w:sz w:val="20"/>
              </w:rPr>
              <w:t>remission for the</w:t>
            </w:r>
            <w:r>
              <w:rPr>
                <w:sz w:val="20"/>
              </w:rPr>
              <w:t xml:space="preserve"> </w:t>
            </w:r>
            <w:r w:rsidRPr="0011346E">
              <w:rPr>
                <w:sz w:val="20"/>
              </w:rPr>
              <w:t>sublingual route,</w:t>
            </w:r>
            <w:r>
              <w:rPr>
                <w:sz w:val="20"/>
              </w:rPr>
              <w:t xml:space="preserve"> </w:t>
            </w:r>
            <w:r w:rsidRPr="0011346E">
              <w:rPr>
                <w:sz w:val="20"/>
              </w:rPr>
              <w:t>although rectal</w:t>
            </w:r>
            <w:r>
              <w:rPr>
                <w:sz w:val="20"/>
              </w:rPr>
              <w:t xml:space="preserve"> </w:t>
            </w:r>
            <w:r w:rsidRPr="0011346E">
              <w:rPr>
                <w:sz w:val="20"/>
              </w:rPr>
              <w:t>was superior in</w:t>
            </w:r>
            <w:r>
              <w:rPr>
                <w:sz w:val="20"/>
              </w:rPr>
              <w:t xml:space="preserve"> </w:t>
            </w:r>
            <w:r w:rsidRPr="0011346E">
              <w:rPr>
                <w:sz w:val="20"/>
              </w:rPr>
              <w:t>physicians'</w:t>
            </w:r>
            <w:r>
              <w:rPr>
                <w:sz w:val="20"/>
              </w:rPr>
              <w:t xml:space="preserve"> </w:t>
            </w:r>
            <w:r w:rsidRPr="0011346E">
              <w:rPr>
                <w:sz w:val="20"/>
              </w:rPr>
              <w:t>assessment</w:t>
            </w:r>
            <w:r>
              <w:rPr>
                <w:sz w:val="20"/>
              </w:rPr>
              <w:t>.</w:t>
            </w:r>
          </w:p>
        </w:tc>
      </w:tr>
    </w:tbl>
    <w:p w:rsidR="00FB12D1" w:rsidRDefault="00FB12D1" w:rsidP="00FB12D1">
      <w:pPr>
        <w:pStyle w:val="Heading2"/>
      </w:pPr>
      <w:r>
        <w:t>Fentanyl Patches</w:t>
      </w:r>
    </w:p>
    <w:p w:rsidR="00FB12D1" w:rsidRDefault="00FB12D1" w:rsidP="00FB12D1">
      <w:r>
        <w:t>In short,</w:t>
      </w:r>
      <w:r>
        <w:t xml:space="preserve"> in a review of the evidence</w:t>
      </w:r>
      <w:r>
        <w:t>,</w:t>
      </w:r>
      <w:r>
        <w:t xml:space="preserve"> Simon ST et al. 2013</w:t>
      </w:r>
      <w:r>
        <w:t>,</w:t>
      </w:r>
      <w:r>
        <w:t xml:space="preserve"> there appeared to be no evidence that </w:t>
      </w:r>
      <w:r w:rsidR="00F74CCD">
        <w:t>fentanyl patches</w:t>
      </w:r>
      <w:r>
        <w:t xml:space="preserve"> help breathlessness. There is also very scant evidence that fentanyl in any form helps breathlessness. However the review found only two randomised controlled trials, which were none conclusive. Other studies identified some possible benefit from rapid acting forms of fentanyl.</w:t>
      </w:r>
    </w:p>
    <w:p w:rsidR="00FB12D1" w:rsidRPr="004A5573" w:rsidRDefault="00FB12D1" w:rsidP="00FB12D1">
      <w:r>
        <w:t xml:space="preserve">It seems reasonable in the current COVID pandemic, when supplies of injectable medications start to dwindle, that we should aim for pain relief and hope that the beneficial effects on breathlessness seen with morphine are a group effect, which may also be seen with fentanyl and oxycodone, via whatever route of administration. </w:t>
      </w:r>
    </w:p>
    <w:p w:rsidR="008B3508" w:rsidRDefault="008B3508" w:rsidP="008B3508">
      <w:pPr>
        <w:rPr>
          <w:rFonts w:asciiTheme="majorHAnsi" w:eastAsiaTheme="majorEastAsia" w:hAnsiTheme="majorHAnsi" w:cstheme="majorBidi"/>
          <w:color w:val="4F81BD" w:themeColor="accent1"/>
        </w:rPr>
      </w:pPr>
      <w:r>
        <w:br w:type="page"/>
      </w:r>
    </w:p>
    <w:p w:rsidR="00BA1164" w:rsidRPr="00BA1164" w:rsidRDefault="0026239B" w:rsidP="0026239B">
      <w:pPr>
        <w:pStyle w:val="Heading3"/>
      </w:pPr>
      <w:r>
        <w:lastRenderedPageBreak/>
        <w:t>References</w:t>
      </w:r>
    </w:p>
    <w:p w:rsidR="0026239B" w:rsidRPr="008B3508" w:rsidRDefault="0026239B" w:rsidP="0026239B">
      <w:pPr>
        <w:autoSpaceDE w:val="0"/>
        <w:autoSpaceDN w:val="0"/>
        <w:adjustRightInd w:val="0"/>
        <w:spacing w:after="0" w:line="240" w:lineRule="auto"/>
        <w:rPr>
          <w:rFonts w:ascii="Arial" w:hAnsi="Arial" w:cs="Arial"/>
          <w:sz w:val="18"/>
          <w:szCs w:val="18"/>
        </w:rPr>
      </w:pPr>
      <w:r w:rsidRPr="008B3508">
        <w:rPr>
          <w:rFonts w:ascii="Arial" w:hAnsi="Arial" w:cs="Arial"/>
          <w:sz w:val="18"/>
          <w:szCs w:val="18"/>
        </w:rPr>
        <w:t xml:space="preserve">Leow KP, Smith MT, Watt JA, Williams BE, </w:t>
      </w:r>
      <w:proofErr w:type="spellStart"/>
      <w:r w:rsidRPr="008B3508">
        <w:rPr>
          <w:rFonts w:ascii="Arial" w:hAnsi="Arial" w:cs="Arial"/>
          <w:sz w:val="18"/>
          <w:szCs w:val="18"/>
        </w:rPr>
        <w:t>Cramond</w:t>
      </w:r>
      <w:proofErr w:type="spellEnd"/>
      <w:r w:rsidRPr="008B3508">
        <w:rPr>
          <w:rFonts w:ascii="Arial" w:hAnsi="Arial" w:cs="Arial"/>
          <w:sz w:val="18"/>
          <w:szCs w:val="18"/>
        </w:rPr>
        <w:t xml:space="preserve"> </w:t>
      </w:r>
      <w:r w:rsidRPr="008B3508">
        <w:rPr>
          <w:rFonts w:ascii="Arial" w:hAnsi="Arial" w:cs="Arial"/>
          <w:sz w:val="18"/>
          <w:szCs w:val="18"/>
        </w:rPr>
        <w:t>T. Comparative oxycodone pharmacokinetics in</w:t>
      </w:r>
      <w:r w:rsidRPr="008B3508">
        <w:rPr>
          <w:rFonts w:ascii="Arial" w:hAnsi="Arial" w:cs="Arial"/>
          <w:sz w:val="18"/>
          <w:szCs w:val="18"/>
        </w:rPr>
        <w:t xml:space="preserve"> </w:t>
      </w:r>
      <w:r w:rsidRPr="008B3508">
        <w:rPr>
          <w:rFonts w:ascii="Arial" w:hAnsi="Arial" w:cs="Arial"/>
          <w:sz w:val="18"/>
          <w:szCs w:val="18"/>
        </w:rPr>
        <w:t>humans after intravenous, oral, and rectal administration.</w:t>
      </w:r>
      <w:r w:rsidRPr="008B3508">
        <w:rPr>
          <w:rFonts w:ascii="Arial" w:hAnsi="Arial" w:cs="Arial"/>
          <w:sz w:val="18"/>
          <w:szCs w:val="18"/>
        </w:rPr>
        <w:t xml:space="preserve"> </w:t>
      </w:r>
      <w:proofErr w:type="spellStart"/>
      <w:r w:rsidRPr="008B3508">
        <w:rPr>
          <w:rFonts w:ascii="Arial" w:hAnsi="Arial" w:cs="Arial"/>
          <w:sz w:val="18"/>
          <w:szCs w:val="18"/>
        </w:rPr>
        <w:t>Ther</w:t>
      </w:r>
      <w:proofErr w:type="spellEnd"/>
      <w:r w:rsidRPr="008B3508">
        <w:rPr>
          <w:rFonts w:ascii="Arial" w:hAnsi="Arial" w:cs="Arial"/>
          <w:sz w:val="18"/>
          <w:szCs w:val="18"/>
        </w:rPr>
        <w:t xml:space="preserve"> Drug </w:t>
      </w:r>
      <w:proofErr w:type="spellStart"/>
      <w:r w:rsidRPr="008B3508">
        <w:rPr>
          <w:rFonts w:ascii="Arial" w:hAnsi="Arial" w:cs="Arial"/>
          <w:sz w:val="18"/>
          <w:szCs w:val="18"/>
        </w:rPr>
        <w:t>Monit</w:t>
      </w:r>
      <w:proofErr w:type="spellEnd"/>
      <w:r w:rsidRPr="008B3508">
        <w:rPr>
          <w:rFonts w:ascii="Arial" w:hAnsi="Arial" w:cs="Arial"/>
          <w:sz w:val="18"/>
          <w:szCs w:val="18"/>
        </w:rPr>
        <w:t xml:space="preserve"> 1992</w:t>
      </w:r>
      <w:proofErr w:type="gramStart"/>
      <w:r w:rsidRPr="008B3508">
        <w:rPr>
          <w:rFonts w:ascii="Arial" w:hAnsi="Arial" w:cs="Arial"/>
          <w:sz w:val="18"/>
          <w:szCs w:val="18"/>
        </w:rPr>
        <w:t>;14:479</w:t>
      </w:r>
      <w:proofErr w:type="gramEnd"/>
      <w:r w:rsidRPr="008B3508">
        <w:rPr>
          <w:rFonts w:ascii="Arial" w:hAnsi="Arial" w:cs="Arial"/>
          <w:sz w:val="18"/>
          <w:szCs w:val="18"/>
        </w:rPr>
        <w:t>–84.</w:t>
      </w:r>
    </w:p>
    <w:p w:rsidR="0026239B" w:rsidRPr="008B3508" w:rsidRDefault="0026239B" w:rsidP="0026239B">
      <w:pPr>
        <w:autoSpaceDE w:val="0"/>
        <w:autoSpaceDN w:val="0"/>
        <w:adjustRightInd w:val="0"/>
        <w:spacing w:after="0" w:line="240" w:lineRule="auto"/>
        <w:rPr>
          <w:rFonts w:ascii="Arial" w:hAnsi="Arial" w:cs="Arial"/>
          <w:sz w:val="18"/>
          <w:szCs w:val="18"/>
        </w:rPr>
      </w:pPr>
    </w:p>
    <w:p w:rsidR="0026239B" w:rsidRPr="008B3508" w:rsidRDefault="0026239B" w:rsidP="0026239B">
      <w:pPr>
        <w:autoSpaceDE w:val="0"/>
        <w:autoSpaceDN w:val="0"/>
        <w:adjustRightInd w:val="0"/>
        <w:spacing w:after="0" w:line="240" w:lineRule="auto"/>
        <w:rPr>
          <w:rFonts w:ascii="Arial" w:hAnsi="Arial" w:cs="Arial"/>
          <w:sz w:val="18"/>
          <w:szCs w:val="18"/>
        </w:rPr>
      </w:pPr>
      <w:r w:rsidRPr="008B3508">
        <w:rPr>
          <w:rFonts w:ascii="Arial" w:hAnsi="Arial" w:cs="Arial"/>
          <w:sz w:val="18"/>
          <w:szCs w:val="18"/>
        </w:rPr>
        <w:t xml:space="preserve">Leow KP, </w:t>
      </w:r>
      <w:proofErr w:type="spellStart"/>
      <w:r w:rsidRPr="008B3508">
        <w:rPr>
          <w:rFonts w:ascii="Arial" w:hAnsi="Arial" w:cs="Arial"/>
          <w:sz w:val="18"/>
          <w:szCs w:val="18"/>
        </w:rPr>
        <w:t>Cramond</w:t>
      </w:r>
      <w:proofErr w:type="spellEnd"/>
      <w:r w:rsidRPr="008B3508">
        <w:rPr>
          <w:rFonts w:ascii="Arial" w:hAnsi="Arial" w:cs="Arial"/>
          <w:sz w:val="18"/>
          <w:szCs w:val="18"/>
        </w:rPr>
        <w:t xml:space="preserve"> T, Smith MT. Pharmacokinetics</w:t>
      </w:r>
      <w:r w:rsidRPr="008B3508">
        <w:rPr>
          <w:rFonts w:ascii="Arial" w:hAnsi="Arial" w:cs="Arial"/>
          <w:sz w:val="18"/>
          <w:szCs w:val="18"/>
        </w:rPr>
        <w:t xml:space="preserve"> </w:t>
      </w:r>
      <w:r w:rsidRPr="008B3508">
        <w:rPr>
          <w:rFonts w:ascii="Arial" w:hAnsi="Arial" w:cs="Arial"/>
          <w:sz w:val="18"/>
          <w:szCs w:val="18"/>
        </w:rPr>
        <w:t>and pharmacodynamics of oxycodone when</w:t>
      </w:r>
      <w:r w:rsidRPr="008B3508">
        <w:rPr>
          <w:rFonts w:ascii="Arial" w:hAnsi="Arial" w:cs="Arial"/>
          <w:sz w:val="18"/>
          <w:szCs w:val="18"/>
        </w:rPr>
        <w:t xml:space="preserve"> </w:t>
      </w:r>
      <w:r w:rsidRPr="008B3508">
        <w:rPr>
          <w:rFonts w:ascii="Arial" w:hAnsi="Arial" w:cs="Arial"/>
          <w:sz w:val="18"/>
          <w:szCs w:val="18"/>
        </w:rPr>
        <w:t>given intravenously and rectally to adult patients</w:t>
      </w:r>
      <w:r w:rsidRPr="008B3508">
        <w:rPr>
          <w:rFonts w:ascii="Arial" w:hAnsi="Arial" w:cs="Arial"/>
          <w:sz w:val="18"/>
          <w:szCs w:val="18"/>
        </w:rPr>
        <w:t xml:space="preserve"> </w:t>
      </w:r>
      <w:r w:rsidRPr="008B3508">
        <w:rPr>
          <w:rFonts w:ascii="Arial" w:hAnsi="Arial" w:cs="Arial"/>
          <w:sz w:val="18"/>
          <w:szCs w:val="18"/>
        </w:rPr>
        <w:t xml:space="preserve">with cancer pain. </w:t>
      </w:r>
      <w:proofErr w:type="spellStart"/>
      <w:r w:rsidRPr="008B3508">
        <w:rPr>
          <w:rFonts w:ascii="Arial" w:hAnsi="Arial" w:cs="Arial"/>
          <w:sz w:val="18"/>
          <w:szCs w:val="18"/>
        </w:rPr>
        <w:t>Anesth</w:t>
      </w:r>
      <w:proofErr w:type="spellEnd"/>
      <w:r w:rsidRPr="008B3508">
        <w:rPr>
          <w:rFonts w:ascii="Arial" w:hAnsi="Arial" w:cs="Arial"/>
          <w:sz w:val="18"/>
          <w:szCs w:val="18"/>
        </w:rPr>
        <w:t xml:space="preserve"> </w:t>
      </w:r>
      <w:proofErr w:type="spellStart"/>
      <w:r w:rsidRPr="008B3508">
        <w:rPr>
          <w:rFonts w:ascii="Arial" w:hAnsi="Arial" w:cs="Arial"/>
          <w:sz w:val="18"/>
          <w:szCs w:val="18"/>
        </w:rPr>
        <w:t>Analg</w:t>
      </w:r>
      <w:proofErr w:type="spellEnd"/>
      <w:r w:rsidRPr="008B3508">
        <w:rPr>
          <w:rFonts w:ascii="Arial" w:hAnsi="Arial" w:cs="Arial"/>
          <w:sz w:val="18"/>
          <w:szCs w:val="18"/>
        </w:rPr>
        <w:t xml:space="preserve"> 1995</w:t>
      </w:r>
      <w:proofErr w:type="gramStart"/>
      <w:r w:rsidRPr="008B3508">
        <w:rPr>
          <w:rFonts w:ascii="Arial" w:hAnsi="Arial" w:cs="Arial"/>
          <w:sz w:val="18"/>
          <w:szCs w:val="18"/>
        </w:rPr>
        <w:t>;80:296</w:t>
      </w:r>
      <w:proofErr w:type="gramEnd"/>
      <w:r w:rsidRPr="008B3508">
        <w:rPr>
          <w:rFonts w:ascii="Arial" w:hAnsi="Arial" w:cs="Arial"/>
          <w:sz w:val="18"/>
          <w:szCs w:val="18"/>
        </w:rPr>
        <w:t>–302.</w:t>
      </w:r>
    </w:p>
    <w:p w:rsidR="0026239B" w:rsidRPr="008B3508" w:rsidRDefault="0026239B" w:rsidP="0026239B">
      <w:pPr>
        <w:autoSpaceDE w:val="0"/>
        <w:autoSpaceDN w:val="0"/>
        <w:adjustRightInd w:val="0"/>
        <w:spacing w:after="0" w:line="240" w:lineRule="auto"/>
        <w:rPr>
          <w:rFonts w:ascii="Arial" w:hAnsi="Arial" w:cs="Arial"/>
          <w:sz w:val="18"/>
          <w:szCs w:val="18"/>
        </w:rPr>
      </w:pPr>
    </w:p>
    <w:p w:rsidR="0026239B" w:rsidRPr="008B3508" w:rsidRDefault="0026239B" w:rsidP="0026239B">
      <w:pPr>
        <w:autoSpaceDE w:val="0"/>
        <w:autoSpaceDN w:val="0"/>
        <w:adjustRightInd w:val="0"/>
        <w:spacing w:after="0" w:line="240" w:lineRule="auto"/>
        <w:rPr>
          <w:rFonts w:ascii="Arial" w:hAnsi="Arial" w:cs="Arial"/>
          <w:sz w:val="18"/>
          <w:szCs w:val="18"/>
        </w:rPr>
      </w:pPr>
      <w:r w:rsidRPr="008B3508">
        <w:rPr>
          <w:rFonts w:ascii="Arial" w:hAnsi="Arial" w:cs="Arial"/>
          <w:sz w:val="18"/>
          <w:szCs w:val="18"/>
        </w:rPr>
        <w:t xml:space="preserve">Bruera E, </w:t>
      </w:r>
      <w:proofErr w:type="spellStart"/>
      <w:r w:rsidRPr="008B3508">
        <w:rPr>
          <w:rFonts w:ascii="Arial" w:hAnsi="Arial" w:cs="Arial"/>
          <w:sz w:val="18"/>
          <w:szCs w:val="18"/>
        </w:rPr>
        <w:t>Fainsinger</w:t>
      </w:r>
      <w:proofErr w:type="spellEnd"/>
      <w:r w:rsidRPr="008B3508">
        <w:rPr>
          <w:rFonts w:ascii="Arial" w:hAnsi="Arial" w:cs="Arial"/>
          <w:sz w:val="18"/>
          <w:szCs w:val="18"/>
        </w:rPr>
        <w:t xml:space="preserve"> R, </w:t>
      </w:r>
      <w:proofErr w:type="spellStart"/>
      <w:r w:rsidRPr="008B3508">
        <w:rPr>
          <w:rFonts w:ascii="Arial" w:hAnsi="Arial" w:cs="Arial"/>
          <w:sz w:val="18"/>
          <w:szCs w:val="18"/>
        </w:rPr>
        <w:t>Spachynski</w:t>
      </w:r>
      <w:proofErr w:type="spellEnd"/>
      <w:r w:rsidRPr="008B3508">
        <w:rPr>
          <w:rFonts w:ascii="Arial" w:hAnsi="Arial" w:cs="Arial"/>
          <w:sz w:val="18"/>
          <w:szCs w:val="18"/>
        </w:rPr>
        <w:t xml:space="preserve"> K, et al. Clinical</w:t>
      </w:r>
      <w:r w:rsidRPr="008B3508">
        <w:rPr>
          <w:rFonts w:ascii="Arial" w:hAnsi="Arial" w:cs="Arial"/>
          <w:sz w:val="18"/>
          <w:szCs w:val="18"/>
        </w:rPr>
        <w:t xml:space="preserve"> </w:t>
      </w:r>
      <w:r w:rsidRPr="008B3508">
        <w:rPr>
          <w:rFonts w:ascii="Arial" w:hAnsi="Arial" w:cs="Arial"/>
          <w:sz w:val="18"/>
          <w:szCs w:val="18"/>
        </w:rPr>
        <w:t>efficacy and safety of a novel controlled-release morphine</w:t>
      </w:r>
      <w:r w:rsidRPr="008B3508">
        <w:rPr>
          <w:rFonts w:ascii="Arial" w:hAnsi="Arial" w:cs="Arial"/>
          <w:sz w:val="18"/>
          <w:szCs w:val="18"/>
        </w:rPr>
        <w:t xml:space="preserve"> </w:t>
      </w:r>
      <w:r w:rsidRPr="008B3508">
        <w:rPr>
          <w:rFonts w:ascii="Arial" w:hAnsi="Arial" w:cs="Arial"/>
          <w:sz w:val="18"/>
          <w:szCs w:val="18"/>
        </w:rPr>
        <w:t>suppository and subcutaneous morphine in</w:t>
      </w:r>
      <w:r w:rsidRPr="008B3508">
        <w:rPr>
          <w:rFonts w:ascii="Arial" w:hAnsi="Arial" w:cs="Arial"/>
          <w:sz w:val="18"/>
          <w:szCs w:val="18"/>
        </w:rPr>
        <w:t xml:space="preserve"> </w:t>
      </w:r>
      <w:r w:rsidRPr="008B3508">
        <w:rPr>
          <w:rFonts w:ascii="Arial" w:hAnsi="Arial" w:cs="Arial"/>
          <w:sz w:val="18"/>
          <w:szCs w:val="18"/>
        </w:rPr>
        <w:t xml:space="preserve">cancer pain: A randomized evaluation. J </w:t>
      </w:r>
      <w:proofErr w:type="spellStart"/>
      <w:r w:rsidRPr="008B3508">
        <w:rPr>
          <w:rFonts w:ascii="Arial" w:hAnsi="Arial" w:cs="Arial"/>
          <w:sz w:val="18"/>
          <w:szCs w:val="18"/>
        </w:rPr>
        <w:t>Clin</w:t>
      </w:r>
      <w:proofErr w:type="spellEnd"/>
      <w:r w:rsidRPr="008B3508">
        <w:rPr>
          <w:rFonts w:ascii="Arial" w:hAnsi="Arial" w:cs="Arial"/>
          <w:sz w:val="18"/>
          <w:szCs w:val="18"/>
        </w:rPr>
        <w:t xml:space="preserve"> </w:t>
      </w:r>
      <w:proofErr w:type="spellStart"/>
      <w:r w:rsidRPr="008B3508">
        <w:rPr>
          <w:rFonts w:ascii="Arial" w:hAnsi="Arial" w:cs="Arial"/>
          <w:sz w:val="18"/>
          <w:szCs w:val="18"/>
        </w:rPr>
        <w:t>Oncol</w:t>
      </w:r>
      <w:proofErr w:type="spellEnd"/>
      <w:r w:rsidRPr="008B3508">
        <w:rPr>
          <w:rFonts w:ascii="Arial" w:hAnsi="Arial" w:cs="Arial"/>
          <w:sz w:val="18"/>
          <w:szCs w:val="18"/>
        </w:rPr>
        <w:t xml:space="preserve"> </w:t>
      </w:r>
      <w:r w:rsidRPr="008B3508">
        <w:rPr>
          <w:rFonts w:ascii="Arial" w:hAnsi="Arial" w:cs="Arial"/>
          <w:sz w:val="18"/>
          <w:szCs w:val="18"/>
        </w:rPr>
        <w:t>1995</w:t>
      </w:r>
      <w:proofErr w:type="gramStart"/>
      <w:r w:rsidRPr="008B3508">
        <w:rPr>
          <w:rFonts w:ascii="Arial" w:hAnsi="Arial" w:cs="Arial"/>
          <w:sz w:val="18"/>
          <w:szCs w:val="18"/>
        </w:rPr>
        <w:t>;13:1520</w:t>
      </w:r>
      <w:proofErr w:type="gramEnd"/>
      <w:r w:rsidRPr="008B3508">
        <w:rPr>
          <w:rFonts w:ascii="Arial" w:hAnsi="Arial" w:cs="Arial"/>
          <w:sz w:val="18"/>
          <w:szCs w:val="18"/>
        </w:rPr>
        <w:t>–7.</w:t>
      </w:r>
    </w:p>
    <w:p w:rsidR="0026239B" w:rsidRPr="008B3508" w:rsidRDefault="0026239B" w:rsidP="00BA1164">
      <w:pPr>
        <w:autoSpaceDE w:val="0"/>
        <w:autoSpaceDN w:val="0"/>
        <w:adjustRightInd w:val="0"/>
        <w:spacing w:after="0" w:line="240" w:lineRule="auto"/>
        <w:rPr>
          <w:rFonts w:ascii="Arial" w:hAnsi="Arial" w:cs="Arial"/>
          <w:sz w:val="18"/>
          <w:szCs w:val="18"/>
        </w:rPr>
      </w:pPr>
    </w:p>
    <w:p w:rsidR="00BA1164" w:rsidRPr="00BA1164" w:rsidRDefault="00BA1164" w:rsidP="00BA1164">
      <w:pPr>
        <w:autoSpaceDE w:val="0"/>
        <w:autoSpaceDN w:val="0"/>
        <w:adjustRightInd w:val="0"/>
        <w:spacing w:after="0" w:line="240" w:lineRule="auto"/>
        <w:rPr>
          <w:rFonts w:ascii="Arial" w:hAnsi="Arial" w:cs="Arial"/>
          <w:sz w:val="18"/>
          <w:szCs w:val="18"/>
        </w:rPr>
      </w:pPr>
      <w:r w:rsidRPr="00BA1164">
        <w:rPr>
          <w:rFonts w:ascii="Arial" w:hAnsi="Arial" w:cs="Arial"/>
          <w:sz w:val="18"/>
          <w:szCs w:val="18"/>
        </w:rPr>
        <w:t xml:space="preserve">Maloney CM, </w:t>
      </w:r>
      <w:proofErr w:type="spellStart"/>
      <w:r w:rsidRPr="00BA1164">
        <w:rPr>
          <w:rFonts w:ascii="Arial" w:hAnsi="Arial" w:cs="Arial"/>
          <w:sz w:val="18"/>
          <w:szCs w:val="18"/>
        </w:rPr>
        <w:t>Kesner</w:t>
      </w:r>
      <w:proofErr w:type="spellEnd"/>
      <w:r w:rsidRPr="00BA1164">
        <w:rPr>
          <w:rFonts w:ascii="Arial" w:hAnsi="Arial" w:cs="Arial"/>
          <w:sz w:val="18"/>
          <w:szCs w:val="18"/>
        </w:rPr>
        <w:t xml:space="preserve"> RK, Klein G, </w:t>
      </w:r>
      <w:proofErr w:type="spellStart"/>
      <w:r w:rsidRPr="00BA1164">
        <w:rPr>
          <w:rFonts w:ascii="Arial" w:hAnsi="Arial" w:cs="Arial"/>
          <w:sz w:val="18"/>
          <w:szCs w:val="18"/>
        </w:rPr>
        <w:t>Bockenstette</w:t>
      </w:r>
      <w:proofErr w:type="spellEnd"/>
      <w:r w:rsidRPr="00BA1164">
        <w:rPr>
          <w:rFonts w:ascii="Arial" w:hAnsi="Arial" w:cs="Arial"/>
          <w:sz w:val="18"/>
          <w:szCs w:val="18"/>
        </w:rPr>
        <w:t xml:space="preserve"> J. The rectal administration of MS Contin: Clinical implications of use in end stage cancer. Am J </w:t>
      </w:r>
      <w:proofErr w:type="spellStart"/>
      <w:r w:rsidRPr="00BA1164">
        <w:rPr>
          <w:rFonts w:ascii="Arial" w:hAnsi="Arial" w:cs="Arial"/>
          <w:sz w:val="18"/>
          <w:szCs w:val="18"/>
        </w:rPr>
        <w:t>Hosp</w:t>
      </w:r>
      <w:proofErr w:type="spellEnd"/>
      <w:r w:rsidRPr="00BA1164">
        <w:rPr>
          <w:rFonts w:ascii="Arial" w:hAnsi="Arial" w:cs="Arial"/>
          <w:sz w:val="18"/>
          <w:szCs w:val="18"/>
        </w:rPr>
        <w:t xml:space="preserve"> Care 1989</w:t>
      </w:r>
      <w:proofErr w:type="gramStart"/>
      <w:r w:rsidRPr="00BA1164">
        <w:rPr>
          <w:rFonts w:ascii="Arial" w:hAnsi="Arial" w:cs="Arial"/>
          <w:sz w:val="18"/>
          <w:szCs w:val="18"/>
        </w:rPr>
        <w:t>;6:34</w:t>
      </w:r>
      <w:proofErr w:type="gramEnd"/>
      <w:r w:rsidRPr="00BA1164">
        <w:rPr>
          <w:rFonts w:ascii="Arial" w:hAnsi="Arial" w:cs="Arial"/>
          <w:sz w:val="18"/>
          <w:szCs w:val="18"/>
        </w:rPr>
        <w:t>–5.</w:t>
      </w:r>
    </w:p>
    <w:p w:rsidR="00BA1164" w:rsidRPr="00BA1164" w:rsidRDefault="00BA1164" w:rsidP="00BA1164">
      <w:pPr>
        <w:autoSpaceDE w:val="0"/>
        <w:autoSpaceDN w:val="0"/>
        <w:adjustRightInd w:val="0"/>
        <w:spacing w:after="0" w:line="240" w:lineRule="auto"/>
        <w:rPr>
          <w:rFonts w:ascii="Arial" w:hAnsi="Arial" w:cs="Arial"/>
          <w:sz w:val="18"/>
          <w:szCs w:val="18"/>
        </w:rPr>
      </w:pPr>
    </w:p>
    <w:p w:rsidR="00BA1164" w:rsidRPr="008B3508" w:rsidRDefault="00BA1164" w:rsidP="00BA1164">
      <w:pPr>
        <w:autoSpaceDE w:val="0"/>
        <w:autoSpaceDN w:val="0"/>
        <w:adjustRightInd w:val="0"/>
        <w:spacing w:after="0" w:line="240" w:lineRule="auto"/>
        <w:rPr>
          <w:rFonts w:ascii="Arial" w:hAnsi="Arial" w:cs="Arial"/>
          <w:sz w:val="18"/>
          <w:szCs w:val="18"/>
        </w:rPr>
      </w:pPr>
      <w:r w:rsidRPr="00BA1164">
        <w:rPr>
          <w:rFonts w:ascii="Arial" w:hAnsi="Arial" w:cs="Arial"/>
          <w:sz w:val="18"/>
          <w:szCs w:val="18"/>
        </w:rPr>
        <w:t xml:space="preserve">Moolenaar F, </w:t>
      </w:r>
      <w:proofErr w:type="spellStart"/>
      <w:r w:rsidRPr="00BA1164">
        <w:rPr>
          <w:rFonts w:ascii="Arial" w:hAnsi="Arial" w:cs="Arial"/>
          <w:sz w:val="18"/>
          <w:szCs w:val="18"/>
        </w:rPr>
        <w:t>Meijler</w:t>
      </w:r>
      <w:proofErr w:type="spellEnd"/>
      <w:r w:rsidRPr="00BA1164">
        <w:rPr>
          <w:rFonts w:ascii="Arial" w:hAnsi="Arial" w:cs="Arial"/>
          <w:sz w:val="18"/>
          <w:szCs w:val="18"/>
        </w:rPr>
        <w:t xml:space="preserve"> WJ, </w:t>
      </w:r>
      <w:proofErr w:type="spellStart"/>
      <w:r w:rsidRPr="00BA1164">
        <w:rPr>
          <w:rFonts w:ascii="Arial" w:hAnsi="Arial" w:cs="Arial"/>
          <w:sz w:val="18"/>
          <w:szCs w:val="18"/>
        </w:rPr>
        <w:t>Frijlink</w:t>
      </w:r>
      <w:proofErr w:type="spellEnd"/>
      <w:r w:rsidRPr="00BA1164">
        <w:rPr>
          <w:rFonts w:ascii="Arial" w:hAnsi="Arial" w:cs="Arial"/>
          <w:sz w:val="18"/>
          <w:szCs w:val="18"/>
        </w:rPr>
        <w:t xml:space="preserve"> HW, </w:t>
      </w:r>
      <w:proofErr w:type="spellStart"/>
      <w:r w:rsidRPr="00BA1164">
        <w:rPr>
          <w:rFonts w:ascii="Arial" w:hAnsi="Arial" w:cs="Arial"/>
          <w:sz w:val="18"/>
          <w:szCs w:val="18"/>
        </w:rPr>
        <w:t>Visser</w:t>
      </w:r>
      <w:proofErr w:type="spellEnd"/>
      <w:r w:rsidRPr="00BA1164">
        <w:rPr>
          <w:rFonts w:ascii="Arial" w:hAnsi="Arial" w:cs="Arial"/>
          <w:sz w:val="18"/>
          <w:szCs w:val="18"/>
        </w:rPr>
        <w:t xml:space="preserve"> J, </w:t>
      </w:r>
      <w:proofErr w:type="spellStart"/>
      <w:r w:rsidRPr="00BA1164">
        <w:rPr>
          <w:rFonts w:ascii="Arial" w:hAnsi="Arial" w:cs="Arial"/>
          <w:sz w:val="18"/>
          <w:szCs w:val="18"/>
        </w:rPr>
        <w:t>Proost</w:t>
      </w:r>
      <w:proofErr w:type="spellEnd"/>
      <w:r w:rsidRPr="00BA1164">
        <w:rPr>
          <w:rFonts w:ascii="Arial" w:hAnsi="Arial" w:cs="Arial"/>
          <w:sz w:val="18"/>
          <w:szCs w:val="18"/>
        </w:rPr>
        <w:t xml:space="preserve"> JH. </w:t>
      </w:r>
      <w:proofErr w:type="gramStart"/>
      <w:r w:rsidRPr="00BA1164">
        <w:rPr>
          <w:rFonts w:ascii="Arial" w:hAnsi="Arial" w:cs="Arial"/>
          <w:sz w:val="18"/>
          <w:szCs w:val="18"/>
        </w:rPr>
        <w:t>Clinical efficacy, safety and pharmacokinetics of a newly developed controlled release morphine sulphate suppository in patients with cancer pain.</w:t>
      </w:r>
      <w:proofErr w:type="gramEnd"/>
      <w:r w:rsidRPr="00BA1164">
        <w:rPr>
          <w:rFonts w:ascii="Arial" w:hAnsi="Arial" w:cs="Arial"/>
          <w:sz w:val="18"/>
          <w:szCs w:val="18"/>
        </w:rPr>
        <w:t xml:space="preserve"> </w:t>
      </w:r>
      <w:proofErr w:type="spellStart"/>
      <w:r w:rsidRPr="00BA1164">
        <w:rPr>
          <w:rFonts w:ascii="Arial" w:hAnsi="Arial" w:cs="Arial"/>
          <w:sz w:val="18"/>
          <w:szCs w:val="18"/>
        </w:rPr>
        <w:t>Eur</w:t>
      </w:r>
      <w:proofErr w:type="spellEnd"/>
      <w:r w:rsidRPr="00BA1164">
        <w:rPr>
          <w:rFonts w:ascii="Arial" w:hAnsi="Arial" w:cs="Arial"/>
          <w:sz w:val="18"/>
          <w:szCs w:val="18"/>
        </w:rPr>
        <w:t xml:space="preserve"> J </w:t>
      </w:r>
      <w:proofErr w:type="spellStart"/>
      <w:r w:rsidRPr="00BA1164">
        <w:rPr>
          <w:rFonts w:ascii="Arial" w:hAnsi="Arial" w:cs="Arial"/>
          <w:sz w:val="18"/>
          <w:szCs w:val="18"/>
        </w:rPr>
        <w:t>Clin</w:t>
      </w:r>
      <w:proofErr w:type="spellEnd"/>
      <w:r w:rsidRPr="00BA1164">
        <w:rPr>
          <w:rFonts w:ascii="Arial" w:hAnsi="Arial" w:cs="Arial"/>
          <w:sz w:val="18"/>
          <w:szCs w:val="18"/>
        </w:rPr>
        <w:t xml:space="preserve"> </w:t>
      </w:r>
      <w:proofErr w:type="spellStart"/>
      <w:r w:rsidRPr="00BA1164">
        <w:rPr>
          <w:rFonts w:ascii="Arial" w:hAnsi="Arial" w:cs="Arial"/>
          <w:sz w:val="18"/>
          <w:szCs w:val="18"/>
        </w:rPr>
        <w:t>Pharmacol</w:t>
      </w:r>
      <w:proofErr w:type="spellEnd"/>
      <w:r w:rsidRPr="00BA1164">
        <w:rPr>
          <w:rFonts w:ascii="Arial" w:hAnsi="Arial" w:cs="Arial"/>
          <w:sz w:val="18"/>
          <w:szCs w:val="18"/>
        </w:rPr>
        <w:t xml:space="preserve"> 2000</w:t>
      </w:r>
      <w:proofErr w:type="gramStart"/>
      <w:r w:rsidRPr="00BA1164">
        <w:rPr>
          <w:rFonts w:ascii="Arial" w:hAnsi="Arial" w:cs="Arial"/>
          <w:sz w:val="18"/>
          <w:szCs w:val="18"/>
        </w:rPr>
        <w:t>;56:219</w:t>
      </w:r>
      <w:proofErr w:type="gramEnd"/>
      <w:r w:rsidRPr="00BA1164">
        <w:rPr>
          <w:rFonts w:ascii="Arial" w:hAnsi="Arial" w:cs="Arial"/>
          <w:sz w:val="18"/>
          <w:szCs w:val="18"/>
        </w:rPr>
        <w:t>–23.</w:t>
      </w:r>
    </w:p>
    <w:p w:rsidR="008B3508" w:rsidRPr="008B3508" w:rsidRDefault="008B3508" w:rsidP="00BA1164">
      <w:pPr>
        <w:autoSpaceDE w:val="0"/>
        <w:autoSpaceDN w:val="0"/>
        <w:adjustRightInd w:val="0"/>
        <w:spacing w:after="0" w:line="240" w:lineRule="auto"/>
        <w:rPr>
          <w:rFonts w:ascii="Arial" w:hAnsi="Arial" w:cs="Arial"/>
          <w:sz w:val="18"/>
          <w:szCs w:val="18"/>
        </w:rPr>
      </w:pPr>
    </w:p>
    <w:p w:rsidR="004A5573" w:rsidRPr="008B3508" w:rsidRDefault="008B3508" w:rsidP="008B3508">
      <w:pPr>
        <w:autoSpaceDE w:val="0"/>
        <w:autoSpaceDN w:val="0"/>
        <w:adjustRightInd w:val="0"/>
        <w:spacing w:after="0" w:line="240" w:lineRule="auto"/>
        <w:rPr>
          <w:rFonts w:ascii="Arial" w:hAnsi="Arial" w:cs="Arial"/>
          <w:sz w:val="18"/>
          <w:szCs w:val="18"/>
        </w:rPr>
      </w:pPr>
      <w:r w:rsidRPr="008B3508">
        <w:rPr>
          <w:rFonts w:ascii="Arial" w:hAnsi="Arial" w:cs="Arial"/>
          <w:sz w:val="18"/>
          <w:szCs w:val="18"/>
        </w:rPr>
        <w:t xml:space="preserve">Babul N, </w:t>
      </w:r>
      <w:proofErr w:type="spellStart"/>
      <w:r w:rsidRPr="008B3508">
        <w:rPr>
          <w:rFonts w:ascii="Arial" w:hAnsi="Arial" w:cs="Arial"/>
          <w:sz w:val="18"/>
          <w:szCs w:val="18"/>
        </w:rPr>
        <w:t>Provencher</w:t>
      </w:r>
      <w:proofErr w:type="spellEnd"/>
      <w:r w:rsidRPr="008B3508">
        <w:rPr>
          <w:rFonts w:ascii="Arial" w:hAnsi="Arial" w:cs="Arial"/>
          <w:sz w:val="18"/>
          <w:szCs w:val="18"/>
        </w:rPr>
        <w:t xml:space="preserve"> L, </w:t>
      </w:r>
      <w:proofErr w:type="spellStart"/>
      <w:r w:rsidRPr="008B3508">
        <w:rPr>
          <w:rFonts w:ascii="Arial" w:hAnsi="Arial" w:cs="Arial"/>
          <w:sz w:val="18"/>
          <w:szCs w:val="18"/>
        </w:rPr>
        <w:t>Laberge</w:t>
      </w:r>
      <w:proofErr w:type="spellEnd"/>
      <w:r w:rsidRPr="008B3508">
        <w:rPr>
          <w:rFonts w:ascii="Arial" w:hAnsi="Arial" w:cs="Arial"/>
          <w:sz w:val="18"/>
          <w:szCs w:val="18"/>
        </w:rPr>
        <w:t xml:space="preserve"> F, </w:t>
      </w:r>
      <w:proofErr w:type="spellStart"/>
      <w:r w:rsidRPr="008B3508">
        <w:rPr>
          <w:rFonts w:ascii="Arial" w:hAnsi="Arial" w:cs="Arial"/>
          <w:sz w:val="18"/>
          <w:szCs w:val="18"/>
        </w:rPr>
        <w:t>Harsanyi</w:t>
      </w:r>
      <w:proofErr w:type="spellEnd"/>
      <w:r w:rsidRPr="008B3508">
        <w:rPr>
          <w:rFonts w:ascii="Arial" w:hAnsi="Arial" w:cs="Arial"/>
          <w:sz w:val="18"/>
          <w:szCs w:val="18"/>
        </w:rPr>
        <w:t xml:space="preserve"> Z,</w:t>
      </w:r>
      <w:r w:rsidRPr="008B3508">
        <w:rPr>
          <w:rFonts w:ascii="Arial" w:hAnsi="Arial" w:cs="Arial"/>
          <w:sz w:val="18"/>
          <w:szCs w:val="18"/>
        </w:rPr>
        <w:t xml:space="preserve"> </w:t>
      </w:r>
      <w:r w:rsidRPr="008B3508">
        <w:rPr>
          <w:rFonts w:ascii="Arial" w:hAnsi="Arial" w:cs="Arial"/>
          <w:sz w:val="18"/>
          <w:szCs w:val="18"/>
        </w:rPr>
        <w:t>Moulin D. Comparative efficacy and safety of</w:t>
      </w:r>
      <w:r w:rsidRPr="008B3508">
        <w:rPr>
          <w:rFonts w:ascii="Arial" w:hAnsi="Arial" w:cs="Arial"/>
          <w:sz w:val="18"/>
          <w:szCs w:val="18"/>
        </w:rPr>
        <w:t xml:space="preserve"> </w:t>
      </w:r>
      <w:r w:rsidRPr="008B3508">
        <w:rPr>
          <w:rFonts w:ascii="Arial" w:hAnsi="Arial" w:cs="Arial"/>
          <w:sz w:val="18"/>
          <w:szCs w:val="18"/>
        </w:rPr>
        <w:t>controlled-release morphine suppositories and</w:t>
      </w:r>
      <w:r w:rsidRPr="008B3508">
        <w:rPr>
          <w:rFonts w:ascii="Arial" w:hAnsi="Arial" w:cs="Arial"/>
          <w:sz w:val="18"/>
          <w:szCs w:val="18"/>
        </w:rPr>
        <w:t xml:space="preserve"> </w:t>
      </w:r>
      <w:r w:rsidRPr="008B3508">
        <w:rPr>
          <w:rFonts w:ascii="Arial" w:hAnsi="Arial" w:cs="Arial"/>
          <w:sz w:val="18"/>
          <w:szCs w:val="18"/>
        </w:rPr>
        <w:t xml:space="preserve">tablets in cancer pain. J </w:t>
      </w:r>
      <w:proofErr w:type="spellStart"/>
      <w:r w:rsidRPr="008B3508">
        <w:rPr>
          <w:rFonts w:ascii="Arial" w:hAnsi="Arial" w:cs="Arial"/>
          <w:sz w:val="18"/>
          <w:szCs w:val="18"/>
        </w:rPr>
        <w:t>Clin</w:t>
      </w:r>
      <w:proofErr w:type="spellEnd"/>
      <w:r w:rsidRPr="008B3508">
        <w:rPr>
          <w:rFonts w:ascii="Arial" w:hAnsi="Arial" w:cs="Arial"/>
          <w:sz w:val="18"/>
          <w:szCs w:val="18"/>
        </w:rPr>
        <w:t xml:space="preserve"> </w:t>
      </w:r>
      <w:proofErr w:type="spellStart"/>
      <w:r w:rsidRPr="008B3508">
        <w:rPr>
          <w:rFonts w:ascii="Arial" w:hAnsi="Arial" w:cs="Arial"/>
          <w:sz w:val="18"/>
          <w:szCs w:val="18"/>
        </w:rPr>
        <w:t>Pharmacol</w:t>
      </w:r>
      <w:proofErr w:type="spellEnd"/>
      <w:r w:rsidRPr="008B3508">
        <w:rPr>
          <w:rFonts w:ascii="Arial" w:hAnsi="Arial" w:cs="Arial"/>
          <w:sz w:val="18"/>
          <w:szCs w:val="18"/>
        </w:rPr>
        <w:t xml:space="preserve"> 1998</w:t>
      </w:r>
      <w:proofErr w:type="gramStart"/>
      <w:r w:rsidRPr="008B3508">
        <w:rPr>
          <w:rFonts w:ascii="Arial" w:hAnsi="Arial" w:cs="Arial"/>
          <w:sz w:val="18"/>
          <w:szCs w:val="18"/>
        </w:rPr>
        <w:t>;38:74</w:t>
      </w:r>
      <w:proofErr w:type="gramEnd"/>
      <w:r w:rsidRPr="008B3508">
        <w:rPr>
          <w:rFonts w:ascii="Arial" w:hAnsi="Arial" w:cs="Arial"/>
          <w:sz w:val="18"/>
          <w:szCs w:val="18"/>
        </w:rPr>
        <w:t>–81.</w:t>
      </w:r>
    </w:p>
    <w:p w:rsidR="008B3508" w:rsidRPr="008B3508" w:rsidRDefault="008B3508" w:rsidP="008B3508">
      <w:pPr>
        <w:autoSpaceDE w:val="0"/>
        <w:autoSpaceDN w:val="0"/>
        <w:adjustRightInd w:val="0"/>
        <w:spacing w:after="0" w:line="240" w:lineRule="auto"/>
        <w:rPr>
          <w:rFonts w:ascii="Arial" w:hAnsi="Arial" w:cs="Arial"/>
          <w:sz w:val="18"/>
          <w:szCs w:val="18"/>
        </w:rPr>
      </w:pPr>
    </w:p>
    <w:p w:rsidR="0026239B" w:rsidRPr="008B3508" w:rsidRDefault="0026239B" w:rsidP="0026239B">
      <w:pPr>
        <w:rPr>
          <w:rFonts w:ascii="Arial" w:hAnsi="Arial" w:cs="Arial"/>
          <w:sz w:val="20"/>
        </w:rPr>
      </w:pPr>
      <w:r w:rsidRPr="008B3508">
        <w:rPr>
          <w:rFonts w:ascii="Arial" w:hAnsi="Arial" w:cs="Arial"/>
          <w:sz w:val="20"/>
        </w:rPr>
        <w:t xml:space="preserve">Yap R, </w:t>
      </w:r>
      <w:proofErr w:type="spellStart"/>
      <w:r w:rsidRPr="008B3508">
        <w:rPr>
          <w:rFonts w:ascii="Arial" w:hAnsi="Arial" w:cs="Arial"/>
          <w:sz w:val="20"/>
        </w:rPr>
        <w:t>Akhileswaran</w:t>
      </w:r>
      <w:proofErr w:type="spellEnd"/>
      <w:r w:rsidRPr="008B3508">
        <w:rPr>
          <w:rFonts w:ascii="Arial" w:hAnsi="Arial" w:cs="Arial"/>
          <w:sz w:val="20"/>
        </w:rPr>
        <w:t xml:space="preserve"> R, </w:t>
      </w:r>
      <w:proofErr w:type="spellStart"/>
      <w:r w:rsidRPr="008B3508">
        <w:rPr>
          <w:rFonts w:ascii="Arial" w:hAnsi="Arial" w:cs="Arial"/>
          <w:sz w:val="20"/>
        </w:rPr>
        <w:t>Heng</w:t>
      </w:r>
      <w:proofErr w:type="spellEnd"/>
      <w:r w:rsidRPr="008B3508">
        <w:rPr>
          <w:rFonts w:ascii="Arial" w:hAnsi="Arial" w:cs="Arial"/>
          <w:sz w:val="20"/>
        </w:rPr>
        <w:t xml:space="preserve"> CP, Tan </w:t>
      </w:r>
      <w:proofErr w:type="gramStart"/>
      <w:r w:rsidRPr="008B3508">
        <w:rPr>
          <w:rFonts w:ascii="Arial" w:hAnsi="Arial" w:cs="Arial"/>
          <w:sz w:val="20"/>
        </w:rPr>
        <w:t>A</w:t>
      </w:r>
      <w:proofErr w:type="gramEnd"/>
      <w:r w:rsidRPr="008B3508">
        <w:rPr>
          <w:rFonts w:ascii="Arial" w:hAnsi="Arial" w:cs="Arial"/>
          <w:sz w:val="20"/>
        </w:rPr>
        <w:t xml:space="preserve">, Hui D. Comfort care kit: use of non oral and non parenteral rescue medications at home for terminally ill patients with swallowing difficulty. J </w:t>
      </w:r>
      <w:proofErr w:type="spellStart"/>
      <w:r w:rsidRPr="008B3508">
        <w:rPr>
          <w:rFonts w:ascii="Arial" w:hAnsi="Arial" w:cs="Arial"/>
          <w:sz w:val="20"/>
        </w:rPr>
        <w:t>Palliat</w:t>
      </w:r>
      <w:proofErr w:type="spellEnd"/>
      <w:r w:rsidRPr="008B3508">
        <w:rPr>
          <w:rFonts w:ascii="Arial" w:hAnsi="Arial" w:cs="Arial"/>
          <w:sz w:val="20"/>
        </w:rPr>
        <w:t xml:space="preserve"> Med. 2014 May</w:t>
      </w:r>
      <w:proofErr w:type="gramStart"/>
      <w:r w:rsidRPr="008B3508">
        <w:rPr>
          <w:rFonts w:ascii="Arial" w:hAnsi="Arial" w:cs="Arial"/>
          <w:sz w:val="20"/>
        </w:rPr>
        <w:t>;17</w:t>
      </w:r>
      <w:proofErr w:type="gramEnd"/>
      <w:r w:rsidRPr="008B3508">
        <w:rPr>
          <w:rFonts w:ascii="Arial" w:hAnsi="Arial" w:cs="Arial"/>
          <w:sz w:val="20"/>
        </w:rPr>
        <w:t xml:space="preserve">(5):575-8. </w:t>
      </w:r>
      <w:proofErr w:type="spellStart"/>
      <w:proofErr w:type="gramStart"/>
      <w:r w:rsidRPr="008B3508">
        <w:rPr>
          <w:rFonts w:ascii="Arial" w:hAnsi="Arial" w:cs="Arial"/>
          <w:sz w:val="20"/>
        </w:rPr>
        <w:t>doi</w:t>
      </w:r>
      <w:proofErr w:type="spellEnd"/>
      <w:proofErr w:type="gramEnd"/>
      <w:r w:rsidRPr="008B3508">
        <w:rPr>
          <w:rFonts w:ascii="Arial" w:hAnsi="Arial" w:cs="Arial"/>
          <w:sz w:val="20"/>
        </w:rPr>
        <w:t xml:space="preserve">: 10.1089/jpm.2013.0364. </w:t>
      </w:r>
      <w:proofErr w:type="spellStart"/>
      <w:r w:rsidRPr="008B3508">
        <w:rPr>
          <w:rFonts w:ascii="Arial" w:hAnsi="Arial" w:cs="Arial"/>
          <w:sz w:val="20"/>
        </w:rPr>
        <w:t>Epub</w:t>
      </w:r>
      <w:proofErr w:type="spellEnd"/>
      <w:r w:rsidRPr="008B3508">
        <w:rPr>
          <w:rFonts w:ascii="Arial" w:hAnsi="Arial" w:cs="Arial"/>
          <w:sz w:val="20"/>
        </w:rPr>
        <w:t xml:space="preserve"> 2014 Apr 7.</w:t>
      </w:r>
    </w:p>
    <w:p w:rsidR="0026239B" w:rsidRPr="008B3508" w:rsidRDefault="0026239B" w:rsidP="0026239B">
      <w:pPr>
        <w:rPr>
          <w:rFonts w:ascii="Arial" w:hAnsi="Arial" w:cs="Arial"/>
          <w:sz w:val="20"/>
        </w:rPr>
      </w:pPr>
      <w:bookmarkStart w:id="0" w:name="_GoBack"/>
      <w:r w:rsidRPr="008B3508">
        <w:rPr>
          <w:rFonts w:ascii="Arial" w:hAnsi="Arial" w:cs="Arial"/>
          <w:sz w:val="20"/>
        </w:rPr>
        <w:t xml:space="preserve">Walsh, D., Tropiano, P.S. Long-term rectal administration of high-dose sustained-release morphine tablets. Support Care Cancer 10, 653–655 (2002). </w:t>
      </w:r>
      <w:bookmarkEnd w:id="0"/>
      <w:r w:rsidRPr="008B3508">
        <w:rPr>
          <w:rFonts w:ascii="Arial" w:hAnsi="Arial" w:cs="Arial"/>
        </w:rPr>
        <w:fldChar w:fldCharType="begin"/>
      </w:r>
      <w:r w:rsidRPr="008B3508">
        <w:rPr>
          <w:rFonts w:ascii="Arial" w:hAnsi="Arial" w:cs="Arial"/>
        </w:rPr>
        <w:instrText xml:space="preserve"> HYPERLINK "https://doi.org/10.1007/s00520-002-0357-0" </w:instrText>
      </w:r>
      <w:r w:rsidRPr="008B3508">
        <w:rPr>
          <w:rFonts w:ascii="Arial" w:hAnsi="Arial" w:cs="Arial"/>
        </w:rPr>
        <w:fldChar w:fldCharType="separate"/>
      </w:r>
      <w:r w:rsidRPr="008B3508">
        <w:rPr>
          <w:rStyle w:val="Hyperlink"/>
          <w:rFonts w:ascii="Arial" w:hAnsi="Arial" w:cs="Arial"/>
          <w:sz w:val="20"/>
        </w:rPr>
        <w:t>https://doi.org/10.1007/s00520-002-0357-0</w:t>
      </w:r>
      <w:r w:rsidRPr="008B3508">
        <w:rPr>
          <w:rStyle w:val="Hyperlink"/>
          <w:rFonts w:ascii="Arial" w:hAnsi="Arial" w:cs="Arial"/>
          <w:sz w:val="20"/>
        </w:rPr>
        <w:fldChar w:fldCharType="end"/>
      </w:r>
    </w:p>
    <w:p w:rsidR="0026239B" w:rsidRPr="008B3508" w:rsidRDefault="0026239B" w:rsidP="0026239B">
      <w:pPr>
        <w:rPr>
          <w:rFonts w:ascii="Arial" w:hAnsi="Arial" w:cs="Arial"/>
          <w:sz w:val="20"/>
        </w:rPr>
      </w:pPr>
      <w:proofErr w:type="gramStart"/>
      <w:r w:rsidRPr="008B3508">
        <w:rPr>
          <w:rFonts w:ascii="Arial" w:hAnsi="Arial" w:cs="Arial"/>
          <w:sz w:val="20"/>
        </w:rPr>
        <w:t xml:space="preserve">Kaiko RF, </w:t>
      </w:r>
      <w:proofErr w:type="spellStart"/>
      <w:r w:rsidRPr="008B3508">
        <w:rPr>
          <w:rFonts w:ascii="Arial" w:hAnsi="Arial" w:cs="Arial"/>
          <w:sz w:val="20"/>
        </w:rPr>
        <w:t>Fitzmartin</w:t>
      </w:r>
      <w:proofErr w:type="spellEnd"/>
      <w:r w:rsidRPr="008B3508">
        <w:rPr>
          <w:rFonts w:ascii="Arial" w:hAnsi="Arial" w:cs="Arial"/>
          <w:sz w:val="20"/>
        </w:rPr>
        <w:t xml:space="preserve"> RD, Thomas GB.</w:t>
      </w:r>
      <w:proofErr w:type="gramEnd"/>
      <w:r w:rsidRPr="008B3508">
        <w:rPr>
          <w:rFonts w:ascii="Arial" w:hAnsi="Arial" w:cs="Arial"/>
          <w:sz w:val="20"/>
        </w:rPr>
        <w:t xml:space="preserve"> The bioavailability of morphine in controlled-release 30 mg tablets per rectum compared with immediate release 30 mg rectal suppositories and controlled release 30 mg tablets. Pharmacotherapy 12:107–113 (1992).</w:t>
      </w:r>
    </w:p>
    <w:p w:rsidR="0026239B" w:rsidRPr="008B3508" w:rsidRDefault="0026239B" w:rsidP="0026239B">
      <w:pPr>
        <w:rPr>
          <w:rFonts w:ascii="Arial" w:hAnsi="Arial" w:cs="Arial"/>
          <w:sz w:val="20"/>
        </w:rPr>
      </w:pPr>
      <w:r w:rsidRPr="008B3508">
        <w:rPr>
          <w:rFonts w:ascii="Arial" w:hAnsi="Arial" w:cs="Arial"/>
          <w:sz w:val="20"/>
        </w:rPr>
        <w:t xml:space="preserve">Grauer PA, Bass J, Wenzel E, et al. A feasibility study of the rectal and vaginal administration of sustained release morphine sulfate tablets for the treatment of cancer-related pain. Proc Am </w:t>
      </w:r>
      <w:proofErr w:type="spellStart"/>
      <w:r w:rsidRPr="008B3508">
        <w:rPr>
          <w:rFonts w:ascii="Arial" w:hAnsi="Arial" w:cs="Arial"/>
          <w:sz w:val="20"/>
        </w:rPr>
        <w:t>Soc</w:t>
      </w:r>
      <w:proofErr w:type="spellEnd"/>
      <w:r w:rsidRPr="008B3508">
        <w:rPr>
          <w:rFonts w:ascii="Arial" w:hAnsi="Arial" w:cs="Arial"/>
          <w:sz w:val="20"/>
        </w:rPr>
        <w:t xml:space="preserve"> </w:t>
      </w:r>
      <w:proofErr w:type="spellStart"/>
      <w:r w:rsidRPr="008B3508">
        <w:rPr>
          <w:rFonts w:ascii="Arial" w:hAnsi="Arial" w:cs="Arial"/>
          <w:sz w:val="20"/>
        </w:rPr>
        <w:t>Clin</w:t>
      </w:r>
      <w:proofErr w:type="spellEnd"/>
      <w:r w:rsidRPr="008B3508">
        <w:rPr>
          <w:rFonts w:ascii="Arial" w:hAnsi="Arial" w:cs="Arial"/>
          <w:sz w:val="20"/>
        </w:rPr>
        <w:t xml:space="preserve"> </w:t>
      </w:r>
      <w:proofErr w:type="spellStart"/>
      <w:r w:rsidRPr="008B3508">
        <w:rPr>
          <w:rFonts w:ascii="Arial" w:hAnsi="Arial" w:cs="Arial"/>
          <w:sz w:val="20"/>
        </w:rPr>
        <w:t>Oncol</w:t>
      </w:r>
      <w:proofErr w:type="spellEnd"/>
      <w:r w:rsidRPr="008B3508">
        <w:rPr>
          <w:rFonts w:ascii="Arial" w:hAnsi="Arial" w:cs="Arial"/>
          <w:sz w:val="20"/>
        </w:rPr>
        <w:t xml:space="preserve"> 11:1392 (1992). </w:t>
      </w:r>
    </w:p>
    <w:p w:rsidR="0026239B" w:rsidRPr="008B3508" w:rsidRDefault="0026239B" w:rsidP="0026239B">
      <w:pPr>
        <w:rPr>
          <w:rFonts w:ascii="Arial" w:hAnsi="Arial" w:cs="Arial"/>
          <w:sz w:val="20"/>
        </w:rPr>
      </w:pPr>
      <w:r w:rsidRPr="008B3508">
        <w:rPr>
          <w:rFonts w:ascii="Arial" w:hAnsi="Arial" w:cs="Arial"/>
          <w:sz w:val="20"/>
        </w:rPr>
        <w:t xml:space="preserve">Pannuti F, Rossi AP, </w:t>
      </w:r>
      <w:proofErr w:type="spellStart"/>
      <w:r w:rsidRPr="008B3508">
        <w:rPr>
          <w:rFonts w:ascii="Arial" w:hAnsi="Arial" w:cs="Arial"/>
          <w:sz w:val="20"/>
        </w:rPr>
        <w:t>Iafelice</w:t>
      </w:r>
      <w:proofErr w:type="spellEnd"/>
      <w:r w:rsidRPr="008B3508">
        <w:rPr>
          <w:rFonts w:ascii="Arial" w:hAnsi="Arial" w:cs="Arial"/>
          <w:sz w:val="20"/>
        </w:rPr>
        <w:t xml:space="preserve"> G, et al. Control of chronic pain in very advanced cancer patients with morphine hydrochloride administered by oral, rectal and sublingual route. </w:t>
      </w:r>
      <w:proofErr w:type="gramStart"/>
      <w:r w:rsidRPr="008B3508">
        <w:rPr>
          <w:rFonts w:ascii="Arial" w:hAnsi="Arial" w:cs="Arial"/>
          <w:sz w:val="20"/>
        </w:rPr>
        <w:t>Clinical report and preliminary results on morphine pharmacokinetics.</w:t>
      </w:r>
      <w:proofErr w:type="gramEnd"/>
      <w:r w:rsidRPr="008B3508">
        <w:rPr>
          <w:rFonts w:ascii="Arial" w:hAnsi="Arial" w:cs="Arial"/>
          <w:sz w:val="20"/>
        </w:rPr>
        <w:t xml:space="preserve"> </w:t>
      </w:r>
      <w:proofErr w:type="spellStart"/>
      <w:proofErr w:type="gramStart"/>
      <w:r w:rsidRPr="008B3508">
        <w:rPr>
          <w:rFonts w:ascii="Arial" w:hAnsi="Arial" w:cs="Arial"/>
          <w:sz w:val="20"/>
        </w:rPr>
        <w:t>Pharmacol</w:t>
      </w:r>
      <w:proofErr w:type="spellEnd"/>
      <w:r w:rsidRPr="008B3508">
        <w:rPr>
          <w:rFonts w:ascii="Arial" w:hAnsi="Arial" w:cs="Arial"/>
          <w:sz w:val="20"/>
        </w:rPr>
        <w:t xml:space="preserve"> Res </w:t>
      </w:r>
      <w:proofErr w:type="spellStart"/>
      <w:r w:rsidRPr="008B3508">
        <w:rPr>
          <w:rFonts w:ascii="Arial" w:hAnsi="Arial" w:cs="Arial"/>
          <w:sz w:val="20"/>
        </w:rPr>
        <w:t>Commun</w:t>
      </w:r>
      <w:proofErr w:type="spellEnd"/>
      <w:r w:rsidRPr="008B3508">
        <w:rPr>
          <w:rFonts w:ascii="Arial" w:hAnsi="Arial" w:cs="Arial"/>
          <w:sz w:val="20"/>
        </w:rPr>
        <w:t xml:space="preserve"> 1982; 14: 369–380.</w:t>
      </w:r>
      <w:proofErr w:type="gramEnd"/>
    </w:p>
    <w:p w:rsidR="00FB12D1" w:rsidRPr="0047044E" w:rsidRDefault="00FB12D1" w:rsidP="00FB12D1">
      <w:r>
        <w:t xml:space="preserve">Simon ST, </w:t>
      </w:r>
      <w:proofErr w:type="spellStart"/>
      <w:r>
        <w:t>K</w:t>
      </w:r>
      <w:r w:rsidRPr="0047044E">
        <w:t>oskero</w:t>
      </w:r>
      <w:r>
        <w:t>glu</w:t>
      </w:r>
      <w:proofErr w:type="spellEnd"/>
      <w:r>
        <w:t xml:space="preserve"> P, </w:t>
      </w:r>
      <w:proofErr w:type="spellStart"/>
      <w:r>
        <w:t>Gaertner</w:t>
      </w:r>
      <w:proofErr w:type="spellEnd"/>
      <w:r>
        <w:t xml:space="preserve"> J, </w:t>
      </w:r>
      <w:proofErr w:type="spellStart"/>
      <w:r>
        <w:t>Voltz</w:t>
      </w:r>
      <w:proofErr w:type="spellEnd"/>
      <w:r>
        <w:t xml:space="preserve"> R. Fen</w:t>
      </w:r>
      <w:r w:rsidRPr="0047044E">
        <w:t>tanyl for the relief of r</w:t>
      </w:r>
      <w:r>
        <w:t>efractory breathlessness: a sys</w:t>
      </w:r>
      <w:r w:rsidRPr="0047044E">
        <w:t>temati</w:t>
      </w:r>
      <w:r>
        <w:t xml:space="preserve">c review. J Pain Symptom Manage </w:t>
      </w:r>
      <w:r w:rsidRPr="0047044E">
        <w:t>2013;</w:t>
      </w:r>
      <w:r>
        <w:t xml:space="preserve"> </w:t>
      </w:r>
      <w:r w:rsidRPr="0047044E">
        <w:t>46:874e886</w:t>
      </w:r>
    </w:p>
    <w:p w:rsidR="004A5573" w:rsidRDefault="004A5573" w:rsidP="0047044E">
      <w:pPr>
        <w:pStyle w:val="Heading2"/>
      </w:pPr>
    </w:p>
    <w:p w:rsidR="00FB12D1" w:rsidRPr="0047044E" w:rsidRDefault="00FB12D1"/>
    <w:sectPr w:rsidR="00FB12D1" w:rsidRPr="0047044E" w:rsidSect="0026239B">
      <w:footerReference w:type="default" r:id="rId8"/>
      <w:pgSz w:w="16838" w:h="11906" w:orient="landscape"/>
      <w:pgMar w:top="42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D1" w:rsidRDefault="00FB12D1" w:rsidP="00FB12D1">
      <w:pPr>
        <w:spacing w:after="0" w:line="240" w:lineRule="auto"/>
      </w:pPr>
      <w:r>
        <w:separator/>
      </w:r>
    </w:p>
  </w:endnote>
  <w:endnote w:type="continuationSeparator" w:id="0">
    <w:p w:rsidR="00FB12D1" w:rsidRDefault="00FB12D1" w:rsidP="00FB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D1" w:rsidRDefault="00FB12D1" w:rsidP="00FB12D1">
    <w:pPr>
      <w:pStyle w:val="Footer"/>
      <w:jc w:val="right"/>
    </w:pPr>
    <w:hyperlink r:id="rId1" w:history="1">
      <w:r w:rsidRPr="008C02BE">
        <w:rPr>
          <w:rStyle w:val="Hyperlink"/>
        </w:rPr>
        <w:t>www.FuturePlanning.org.uk</w:t>
      </w:r>
    </w:hyperlink>
    <w:r>
      <w:t xml:space="preserve"> </w:t>
    </w:r>
    <w:r>
      <w:tab/>
    </w:r>
    <w:r>
      <w:tab/>
    </w:r>
    <w:r>
      <w:tab/>
      <w:t>Wessex Palliative Physicians 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D1" w:rsidRDefault="00FB12D1" w:rsidP="00FB12D1">
      <w:pPr>
        <w:spacing w:after="0" w:line="240" w:lineRule="auto"/>
      </w:pPr>
      <w:r>
        <w:separator/>
      </w:r>
    </w:p>
  </w:footnote>
  <w:footnote w:type="continuationSeparator" w:id="0">
    <w:p w:rsidR="00FB12D1" w:rsidRDefault="00FB12D1" w:rsidP="00FB1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05"/>
    <w:rsid w:val="000E177A"/>
    <w:rsid w:val="0011346E"/>
    <w:rsid w:val="00130679"/>
    <w:rsid w:val="0016701F"/>
    <w:rsid w:val="00195531"/>
    <w:rsid w:val="001A5865"/>
    <w:rsid w:val="001F541E"/>
    <w:rsid w:val="00205FAD"/>
    <w:rsid w:val="0026239B"/>
    <w:rsid w:val="00337C19"/>
    <w:rsid w:val="0047044E"/>
    <w:rsid w:val="004A5573"/>
    <w:rsid w:val="006530DF"/>
    <w:rsid w:val="00672036"/>
    <w:rsid w:val="007F4735"/>
    <w:rsid w:val="00843140"/>
    <w:rsid w:val="008B0805"/>
    <w:rsid w:val="008B3508"/>
    <w:rsid w:val="00936869"/>
    <w:rsid w:val="009C62F1"/>
    <w:rsid w:val="00B30EAF"/>
    <w:rsid w:val="00BA1164"/>
    <w:rsid w:val="00E55C7F"/>
    <w:rsid w:val="00E659CC"/>
    <w:rsid w:val="00EE4885"/>
    <w:rsid w:val="00F74CCD"/>
    <w:rsid w:val="00FB1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0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0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531"/>
    <w:rPr>
      <w:color w:val="0000FF" w:themeColor="hyperlink"/>
      <w:u w:val="single"/>
    </w:rPr>
  </w:style>
  <w:style w:type="character" w:customStyle="1" w:styleId="Heading1Char">
    <w:name w:val="Heading 1 Char"/>
    <w:basedOn w:val="DefaultParagraphFont"/>
    <w:link w:val="Heading1"/>
    <w:uiPriority w:val="9"/>
    <w:rsid w:val="00470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0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239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B1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2D1"/>
  </w:style>
  <w:style w:type="paragraph" w:styleId="Footer">
    <w:name w:val="footer"/>
    <w:basedOn w:val="Normal"/>
    <w:link w:val="FooterChar"/>
    <w:uiPriority w:val="99"/>
    <w:unhideWhenUsed/>
    <w:rsid w:val="00FB1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0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0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531"/>
    <w:rPr>
      <w:color w:val="0000FF" w:themeColor="hyperlink"/>
      <w:u w:val="single"/>
    </w:rPr>
  </w:style>
  <w:style w:type="character" w:customStyle="1" w:styleId="Heading1Char">
    <w:name w:val="Heading 1 Char"/>
    <w:basedOn w:val="DefaultParagraphFont"/>
    <w:link w:val="Heading1"/>
    <w:uiPriority w:val="9"/>
    <w:rsid w:val="00470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0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239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B1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2D1"/>
  </w:style>
  <w:style w:type="paragraph" w:styleId="Footer">
    <w:name w:val="footer"/>
    <w:basedOn w:val="Normal"/>
    <w:link w:val="FooterChar"/>
    <w:uiPriority w:val="99"/>
    <w:unhideWhenUsed/>
    <w:rsid w:val="00FB1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20097">
      <w:bodyDiv w:val="1"/>
      <w:marLeft w:val="0"/>
      <w:marRight w:val="0"/>
      <w:marTop w:val="0"/>
      <w:marBottom w:val="0"/>
      <w:divBdr>
        <w:top w:val="none" w:sz="0" w:space="0" w:color="auto"/>
        <w:left w:val="none" w:sz="0" w:space="0" w:color="auto"/>
        <w:bottom w:val="none" w:sz="0" w:space="0" w:color="auto"/>
        <w:right w:val="none" w:sz="0" w:space="0" w:color="auto"/>
      </w:divBdr>
    </w:div>
    <w:div w:id="582954564">
      <w:bodyDiv w:val="1"/>
      <w:marLeft w:val="0"/>
      <w:marRight w:val="0"/>
      <w:marTop w:val="0"/>
      <w:marBottom w:val="0"/>
      <w:divBdr>
        <w:top w:val="none" w:sz="0" w:space="0" w:color="auto"/>
        <w:left w:val="none" w:sz="0" w:space="0" w:color="auto"/>
        <w:bottom w:val="none" w:sz="0" w:space="0" w:color="auto"/>
        <w:right w:val="none" w:sz="0" w:space="0" w:color="auto"/>
      </w:divBdr>
    </w:div>
    <w:div w:id="16122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111/pme.124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turePlan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1939</Words>
  <Characters>11054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Burrows</dc:creator>
  <cp:lastModifiedBy>Plenderleith, Steve</cp:lastModifiedBy>
  <cp:revision>2</cp:revision>
  <dcterms:created xsi:type="dcterms:W3CDTF">2020-03-25T15:33:00Z</dcterms:created>
  <dcterms:modified xsi:type="dcterms:W3CDTF">2020-03-25T15:33:00Z</dcterms:modified>
</cp:coreProperties>
</file>